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0"/>
        <w:jc w:val="right"/>
        <w:spacing w:before="0"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 к Документации о закупке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jc w:val="center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  <w:t xml:space="preserve">Технические требования на оказание услуг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</w:rPr>
      </w:r>
    </w:p>
    <w:p>
      <w:pPr>
        <w:pStyle w:val="780"/>
        <w:jc w:val="center"/>
        <w:keepLines/>
        <w:keepNext/>
        <w:spacing w:before="0"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«ОКПД2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области»</w:t>
      </w:r>
      <w:r>
        <w:rPr>
          <w:rFonts w:ascii="Times New Roman" w:hAnsi="Times New Roman" w:cs="Times New Roman"/>
          <w:i/>
          <w:iCs/>
          <w:sz w:val="28"/>
          <w:szCs w:val="28"/>
        </w:rPr>
      </w:r>
      <w:r>
        <w:rPr>
          <w:rFonts w:ascii="Times New Roman" w:hAnsi="Times New Roman" w:cs="Times New Roman"/>
          <w:i/>
          <w:iCs/>
          <w:sz w:val="28"/>
          <w:szCs w:val="28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8"/>
          <w:szCs w:val="28"/>
        </w:rPr>
      </w:r>
    </w:p>
    <w:p>
      <w:pPr>
        <w:pStyle w:val="780"/>
        <w:jc w:val="center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ru-RU"/>
        </w:rPr>
        <w:t xml:space="preserve">Лот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lang w:eastAsia="ru-RU"/>
        </w:rPr>
        <w:t xml:space="preserve"> № 41005032-ЭКСП ПРОД-2026-ДГК</w:t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bCs/>
          <w:color w:val="000000" w:themeColor="text1"/>
          <w:sz w:val="26"/>
          <w:szCs w:val="26"/>
          <w:lang w:eastAsia="ru-RU"/>
        </w:rPr>
      </w:r>
    </w:p>
    <w:p>
      <w:pPr>
        <w:pStyle w:val="780"/>
        <w:jc w:val="both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b/>
          <w:bCs/>
          <w:i/>
          <w:color w:val="000000" w:themeColor="text1"/>
          <w:sz w:val="26"/>
          <w:szCs w:val="26"/>
          <w:lang w:eastAsia="ru-RU"/>
        </w:rPr>
      </w:r>
    </w:p>
    <w:p>
      <w:pPr>
        <w:pStyle w:val="780"/>
        <w:jc w:val="both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jc w:val="center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ru-RU"/>
        </w:rPr>
      </w:r>
    </w:p>
    <w:p>
      <w:pPr>
        <w:pStyle w:val="780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  <w:caps/>
            </w:rPr>
          </w:pPr>
          <w:r>
            <w:fldChar w:fldCharType="begin"/>
          </w:r>
          <w:r>
            <w:rPr>
              <w:rStyle w:val="836"/>
              <w:rFonts w:ascii="Times New Roman" w:hAnsi="Times New Roman" w:eastAsia="Times New Roman" w:cs="Times New Roman"/>
              <w:vanish w:val="0"/>
            </w:rPr>
            <w:instrText xml:space="preserve"> TOC \z \o "1-4" \u \h</w:instrText>
          </w:r>
          <w:r>
            <w:rPr>
              <w:rStyle w:val="836"/>
              <w:rFonts w:ascii="Times New Roman" w:hAnsi="Times New Roman" w:eastAsia="Times New Roman" w:cs="Times New Roman"/>
              <w:vanish w:val="0"/>
            </w:rPr>
            <w:fldChar w:fldCharType="separate"/>
          </w:r>
          <w:hyperlink w:tooltip="#_Toc1" w:anchor="_Toc1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1.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Общие сведения</w:t>
            </w:r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3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2" w:anchor="_Toc2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1.1.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Обозначения и сокращения</w:t>
            </w:r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3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3" w:anchor="_Toc3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1.2.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Наименование закупаемой продукции</w:t>
            </w:r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4" w:anchor="_Toc4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1.3.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Цель оказания услуг</w:t>
            </w:r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5" w:anchor="_Toc5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1.4.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Существующее положение</w:t>
            </w:r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  <w:iCs/>
              <w:caps/>
            </w:rPr>
          </w:pPr>
          <w:r/>
          <w:hyperlink w:tooltip="#_Toc6" w:anchor="_Toc6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2.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iCs/>
                <w:lang w:eastAsia="ru-RU"/>
              </w:rPr>
              <w:t xml:space="preserve">Требования к продукции</w:t>
            </w:r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  <w:iCs/>
              <w:caps/>
            </w:rPr>
          </w:r>
          <w:r>
            <w:rPr>
              <w:rFonts w:ascii="Times New Roman" w:hAnsi="Times New Roman" w:cs="Times New Roman"/>
              <w:iCs/>
              <w:caps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7" w:anchor="_Toc7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2.1.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Требования к объёмам и срокам оказания услуг</w:t>
            </w:r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2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8" w:anchor="_Toc8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2.1.1.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Требования к перечню и объёму услуг</w:t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9" w:anchor="_Toc9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  <w:lang w:eastAsia="ru-RU"/>
              </w:rPr>
              <w:t xml:space="preserve">Таблица 1. Перечень объектов оказания услуг по разработке технической документации</w:t>
            </w:r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 xml:space="preserve">:</w:t>
              <w:tab/>
              <w:t xml:space="preserve">4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0" w:anchor="_Toc10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  <w:lang w:eastAsia="ru-RU"/>
              </w:rPr>
              <w:t xml:space="preserve">Таблица 2. Перечень разрабатываемой технической документации</w:t>
            </w:r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rPr>
                <w:rStyle w:val="836"/>
                <w:rFonts w:ascii="Times New Roman" w:hAnsi="Times New Roman" w:eastAsia="Times New Roman" w:cs="Times New Roman"/>
              </w:rPr>
              <w:t xml:space="preserve">:</w:t>
              <w:tab/>
              <w:t xml:space="preserve">7</w:t>
            </w:r>
            <w:r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2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1" w:anchor="_Toc11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2.1.2.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Требования к срокам оказания услуг</w:t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1</w:t>
            </w:r>
          </w:hyperlink>
          <w:r>
            <w:rPr>
              <w:rFonts w:ascii="Times New Roman" w:hAnsi="Times New Roman" w:eastAsia="Times New Roman" w:cs="Times New Roman"/>
            </w:rPr>
            <w:t xml:space="preserve">1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3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2" w:anchor="_Toc12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2.2.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Требования к качеству услуг</w:t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1</w:t>
            </w:r>
          </w:hyperlink>
          <w:r>
            <w:rPr>
              <w:rFonts w:ascii="Times New Roman" w:hAnsi="Times New Roman" w:eastAsia="Times New Roman" w:cs="Times New Roman"/>
            </w:rPr>
            <w:t xml:space="preserve">7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3" w:anchor="_Toc13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  <w:lang w:eastAsia="ru-RU"/>
              </w:rPr>
              <w:t xml:space="preserve">Таблица 3. Требования к качеству услуг</w:t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1</w:t>
            </w:r>
          </w:hyperlink>
          <w:r>
            <w:rPr>
              <w:rFonts w:ascii="Times New Roman" w:hAnsi="Times New Roman" w:eastAsia="Times New Roman" w:cs="Times New Roman"/>
            </w:rPr>
            <w:t xml:space="preserve">7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4" w:anchor="_Toc14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3.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lang w:eastAsia="ru-RU"/>
              </w:rPr>
              <w:t xml:space="preserve">Требования к документации по ценообразованию на этапе закупки</w:t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2</w:t>
            </w:r>
          </w:hyperlink>
          <w:r>
            <w:rPr>
              <w:rFonts w:ascii="Times New Roman" w:hAnsi="Times New Roman" w:eastAsia="Times New Roman" w:cs="Times New Roman"/>
            </w:rPr>
            <w:t xml:space="preserve">5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5" w:anchor="_Toc15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4.</w:t>
              <w:tab/>
              <w:t xml:space="preserve">Требования к документации по ценообразованию на этапе заключения (исполнения) договора</w:t>
              <w:tab/>
              <w:t xml:space="preserve">2</w:t>
            </w:r>
          </w:hyperlink>
          <w:r>
            <w:rPr>
              <w:rFonts w:ascii="Times New Roman" w:hAnsi="Times New Roman" w:eastAsia="Times New Roman" w:cs="Times New Roman"/>
              <w:vanish w:val="0"/>
            </w:rPr>
            <w:t xml:space="preserve">5</w:t>
          </w:r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850"/>
            <w:ind w:left="567" w:firstLine="0"/>
            <w:tabs>
              <w:tab w:val="clear" w:pos="708" w:leader="none"/>
              <w:tab w:val="left" w:pos="850" w:leader="none"/>
              <w:tab w:val="left" w:pos="1276" w:leader="none"/>
              <w:tab w:val="left" w:pos="1701" w:leader="none"/>
              <w:tab w:val="right" w:pos="9911" w:leader="dot"/>
            </w:tabs>
            <w:rPr>
              <w:rFonts w:ascii="Times New Roman" w:hAnsi="Times New Roman" w:cs="Times New Roman"/>
              <w:iCs/>
              <w:caps/>
            </w:rPr>
          </w:pPr>
          <w:r/>
          <w:hyperlink w:tooltip="#_Toc16" w:anchor="_Toc16" w:history="1">
            <w:r>
              <w:rPr>
                <w:rStyle w:val="836"/>
                <w:rFonts w:ascii="Times New Roman" w:hAnsi="Times New Roman" w:eastAsia="Times New Roman" w:cs="Times New Roman"/>
                <w:vanish w:val="0"/>
              </w:rPr>
              <w:t xml:space="preserve">5.</w:t>
              <w:tab/>
            </w:r>
            <w:r>
              <w:rPr>
                <w:rStyle w:val="836"/>
                <w:rFonts w:ascii="Times New Roman" w:hAnsi="Times New Roman" w:eastAsia="Times New Roman" w:cs="Times New Roman"/>
                <w:iCs/>
              </w:rPr>
              <w:t xml:space="preserve">Приложения</w:t>
            </w:r>
            <w:r>
              <w:rPr>
                <w:rStyle w:val="836"/>
                <w:rFonts w:ascii="Times New Roman" w:hAnsi="Times New Roman" w:eastAsia="Times New Roman" w:cs="Times New Roman"/>
              </w:rPr>
              <w:tab/>
              <w:t xml:space="preserve">2</w:t>
            </w:r>
          </w:hyperlink>
          <w:r>
            <w:rPr>
              <w:rFonts w:ascii="Times New Roman" w:hAnsi="Times New Roman" w:eastAsia="Times New Roman" w:cs="Times New Roman"/>
              <w:iCs/>
              <w:caps/>
            </w:rPr>
            <w:t xml:space="preserve">5</w:t>
          </w:r>
          <w:r>
            <w:rPr>
              <w:rFonts w:ascii="Times New Roman" w:hAnsi="Times New Roman" w:eastAsia="Times New Roman" w:cs="Times New Roman"/>
              <w:iCs/>
              <w:caps/>
            </w:rPr>
            <w:fldChar w:fldCharType="end"/>
          </w:r>
          <w:r>
            <w:rPr>
              <w:rFonts w:ascii="Times New Roman" w:hAnsi="Times New Roman" w:cs="Times New Roman"/>
              <w:iCs/>
              <w:caps/>
            </w:rPr>
          </w:r>
          <w:r>
            <w:rPr>
              <w:rFonts w:ascii="Times New Roman" w:hAnsi="Times New Roman" w:cs="Times New Roman"/>
              <w:iCs/>
              <w:caps/>
            </w:rPr>
          </w:r>
        </w:p>
      </w:sdtContent>
    </w:sdt>
    <w:p>
      <w:pPr>
        <w:pStyle w:val="780"/>
        <w:numPr>
          <w:ilvl w:val="0"/>
          <w:numId w:val="0"/>
        </w:numPr>
        <w:ind w:left="0" w:firstLine="283"/>
        <w:keepNext/>
        <w:spacing w:before="120" w:after="60" w:line="240" w:lineRule="auto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outlineLvl w:val="1"/>
      </w:pP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r>
    </w:p>
    <w:p>
      <w:pPr>
        <w:pStyle w:val="780"/>
        <w:jc w:val="center"/>
        <w:keepLines/>
        <w:keepNext/>
        <w:spacing w:before="0" w:after="0" w:line="240" w:lineRule="auto"/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r>
      <w:r>
        <w:br w:type="page" w:clear="all"/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b/>
          <w:i/>
          <w:color w:val="000000" w:themeColor="text1"/>
          <w:sz w:val="24"/>
          <w:szCs w:val="24"/>
          <w:lang w:eastAsia="ru-RU"/>
        </w:rPr>
      </w:r>
    </w:p>
    <w:p>
      <w:pPr>
        <w:pStyle w:val="781"/>
        <w:numPr>
          <w:ilvl w:val="0"/>
          <w:numId w:val="3"/>
        </w:numPr>
        <w:ind w:left="3900" w:firstLine="709"/>
        <w:rPr>
          <w:caps/>
          <w:color w:val="000000" w:themeColor="text1"/>
          <w:lang w:eastAsia="ru-RU"/>
        </w:rPr>
      </w:pPr>
      <w:r/>
      <w:bookmarkStart w:id="0" w:name="_Toc1"/>
      <w:r>
        <w:rPr>
          <w:color w:val="000000" w:themeColor="text1"/>
          <w:lang w:eastAsia="ru-RU"/>
        </w:rPr>
        <w:t xml:space="preserve">Общие сведения</w:t>
      </w:r>
      <w:bookmarkEnd w:id="0"/>
      <w:r>
        <w:rPr>
          <w:caps/>
          <w:color w:val="000000" w:themeColor="text1"/>
          <w:lang w:eastAsia="ru-RU"/>
        </w:rPr>
      </w:r>
      <w:r>
        <w:rPr>
          <w:caps/>
          <w:color w:val="000000" w:themeColor="text1"/>
          <w:lang w:eastAsia="ru-RU"/>
        </w:rPr>
      </w:r>
    </w:p>
    <w:p>
      <w:pPr>
        <w:pStyle w:val="784"/>
        <w:numPr>
          <w:ilvl w:val="1"/>
          <w:numId w:val="3"/>
        </w:numPr>
        <w:ind w:left="0" w:firstLine="709"/>
        <w:rPr>
          <w:color w:val="000000" w:themeColor="text1"/>
          <w:lang w:eastAsia="ru-RU"/>
        </w:rPr>
      </w:pPr>
      <w:r/>
      <w:bookmarkStart w:id="1" w:name="_Toc2"/>
      <w:r>
        <w:rPr>
          <w:color w:val="000000" w:themeColor="text1"/>
          <w:lang w:eastAsia="ru-RU"/>
        </w:rPr>
        <w:t xml:space="preserve">Обозначения и сокращения</w:t>
      </w:r>
      <w:bookmarkEnd w:id="1"/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pStyle w:val="780"/>
        <w:spacing w:before="0" w:after="0" w:line="240" w:lineRule="auto"/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pP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  <w:r>
        <w:rPr>
          <w:rFonts w:ascii="Times New Roman" w:hAnsi="Times New Roman" w:eastAsia="Times New Roman" w:cs="Times New Roman"/>
          <w:bCs/>
          <w:iCs/>
          <w:color w:val="000000" w:themeColor="text1"/>
          <w:sz w:val="26"/>
          <w:szCs w:val="26"/>
          <w:shd w:val="clear" w:color="auto" w:fill="ffff99"/>
          <w:lang w:eastAsia="ru-RU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  <w:trHeight w:val="5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ЭПБ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Экспертиза промышленной безопасности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НТД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ЗиС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Здания и сооружения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Свод правил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780"/>
        <w:jc w:val="both"/>
        <w:keepLines/>
        <w:keepNext/>
        <w:spacing w:before="0"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pStyle w:val="780"/>
        <w:keepLines/>
        <w:keepNext/>
        <w:spacing w:before="0"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br w:type="page" w:clear="all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eastAsia="ru-RU"/>
        </w:rPr>
      </w:r>
    </w:p>
    <w:p>
      <w:pPr>
        <w:pStyle w:val="784"/>
        <w:numPr>
          <w:ilvl w:val="1"/>
          <w:numId w:val="3"/>
        </w:numPr>
        <w:ind w:left="0" w:firstLine="709"/>
        <w:spacing w:before="0" w:after="0"/>
        <w:tabs>
          <w:tab w:val="clear" w:pos="708" w:leader="none"/>
          <w:tab w:val="left" w:pos="850" w:leader="none"/>
          <w:tab w:val="left" w:pos="1134" w:leader="none"/>
        </w:tabs>
        <w:rPr>
          <w:color w:val="000000" w:themeColor="text1"/>
        </w:rPr>
      </w:pPr>
      <w:r/>
      <w:bookmarkStart w:id="2" w:name="_Toc3"/>
      <w:r>
        <w:rPr>
          <w:rFonts w:eastAsia="Times New Roman"/>
          <w:color w:val="000000" w:themeColor="text1"/>
          <w:lang w:eastAsia="ru-RU"/>
        </w:rPr>
        <w:t xml:space="preserve">Наименование закупаемой продукции</w:t>
      </w:r>
      <w:bookmarkEnd w:id="2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«ОКПД2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784"/>
        <w:numPr>
          <w:ilvl w:val="1"/>
          <w:numId w:val="3"/>
        </w:numPr>
        <w:ind w:left="0" w:firstLine="709"/>
        <w:spacing w:before="0" w:after="0"/>
        <w:tabs>
          <w:tab w:val="clear" w:pos="708" w:leader="none"/>
          <w:tab w:val="left" w:pos="1134" w:leader="none"/>
        </w:tabs>
        <w:rPr>
          <w:color w:val="000000" w:themeColor="text1"/>
        </w:rPr>
      </w:pPr>
      <w:r/>
      <w:bookmarkStart w:id="3" w:name="_Toc4"/>
      <w:r>
        <w:rPr>
          <w:rFonts w:eastAsia="Times New Roman"/>
          <w:color w:val="000000" w:themeColor="text1"/>
          <w:lang w:eastAsia="ru-RU"/>
        </w:rPr>
        <w:t xml:space="preserve">Цель оказания услуг</w:t>
      </w:r>
      <w:bookmarkEnd w:id="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contextualSpacing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pPr>
      <w:r>
        <w:rPr>
          <w:rFonts w:ascii="Times New Roman" w:hAnsi="Times New Roman" w:eastAsia="Times New Roman" w:cs="Times New Roman"/>
          <w:b w:val="0"/>
          <w:i w:val="0"/>
          <w:caps w:val="0"/>
          <w:smallCaps w:val="0"/>
          <w:color w:val="000000" w:themeColor="text1"/>
          <w:spacing w:val="0"/>
          <w:sz w:val="24"/>
          <w:szCs w:val="24"/>
        </w:rPr>
        <w:t xml:space="preserve">Приведение и восстановление эксплуатационной документации в соответствие требованиям промышленной безопасности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r>
    </w:p>
    <w:p>
      <w:pPr>
        <w:pStyle w:val="780"/>
        <w:contextualSpacing/>
        <w:ind w:firstLine="709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99"/>
        </w:rPr>
      </w:r>
    </w:p>
    <w:p>
      <w:pPr>
        <w:pStyle w:val="784"/>
        <w:numPr>
          <w:ilvl w:val="1"/>
          <w:numId w:val="3"/>
        </w:numPr>
        <w:ind w:left="0" w:firstLine="709"/>
        <w:spacing w:before="0" w:after="0"/>
        <w:tabs>
          <w:tab w:val="clear" w:pos="708" w:leader="none"/>
          <w:tab w:val="left" w:pos="1134" w:leader="none"/>
        </w:tabs>
        <w:rPr>
          <w:color w:val="000000" w:themeColor="text1"/>
        </w:rPr>
      </w:pPr>
      <w:r/>
      <w:bookmarkStart w:id="4" w:name="_Toc5"/>
      <w:r>
        <w:rPr>
          <w:rFonts w:eastAsia="Times New Roman"/>
          <w:color w:val="000000" w:themeColor="text1"/>
          <w:lang w:eastAsia="ru-RU"/>
        </w:rPr>
        <w:t xml:space="preserve">Существующее положение</w:t>
      </w:r>
      <w:bookmarkEnd w:id="4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ind w:firstLine="709"/>
        <w:jc w:val="both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Адреса структурных подразделений, эксплуатирующих объекты: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«ПТС» - 690091, Приморский край, г. Владивосток, ул. Западная, 29;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«ТЭЦ в г. Советская гавань» - 682817, Хабаровский кр., Советско-Гаванский р-он, г. Советская Гавань, ул. Кишиневская, стр.2;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«АТС» - 675007 Амурская область, г. Благовещенск, ул. Нагорная, 19;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«ХТЭЦ-1» - 680015, Хабаровский край, г. Хабаровск, ул. Узловая, 15а;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«ВТЭЦ-2» - 690034, Приморский край, г. Владивосток, ул. Фадеева, 47;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«КТС» - 681000, Хабаровский край, г. Комсомольск-на-Амуре, ул. Пендрие, 6;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«БлТЭЦ» - 675000, Амурская область, г. Благовещенск, ул. Загородная 177;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СП «АТЭЦ-1» - 682640, Хабаровский край, г. Амурск, Западное шоссе, 10;</w:t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«КТЭЦ-3» - 681034, Хабаровский край, г. Комсомольск-на-Амуре, Северное шоссе, 151;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 «НТЭЦ» - 682469, Хабаровский край., г. Николаевск-на-Амуре, ул. Невельского, 24А</w:t>
      </w:r>
      <w:r>
        <w:rPr>
          <w:rFonts w:ascii="Times New Roman" w:hAnsi="Times New Roman" w:cs="Times New Roman"/>
          <w:sz w:val="24"/>
          <w:szCs w:val="24"/>
          <w14:ligatures w14:val="non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none"/>
          <w14:ligatures w14:val="none"/>
        </w:rPr>
      </w:r>
    </w:p>
    <w:p>
      <w:pPr>
        <w:pStyle w:val="780"/>
        <w:ind w:left="0" w:right="0" w:firstLine="567"/>
        <w:jc w:val="both"/>
        <w:spacing w:before="0" w:after="0" w:afterAutospacing="0" w:line="240" w:lineRule="auto"/>
        <w:rPr>
          <w:rFonts w:ascii="Times New Roman" w:hAnsi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  <w:r>
        <w:rPr>
          <w:rFonts w:ascii="Times New Roman" w:hAnsi="Times New Roman" w:cs="Times New Roman"/>
          <w:sz w:val="24"/>
          <w:szCs w:val="24"/>
          <w14:ligatures w14:val="none"/>
        </w:rPr>
      </w:r>
    </w:p>
    <w:p>
      <w:pPr>
        <w:pStyle w:val="781"/>
        <w:numPr>
          <w:ilvl w:val="0"/>
          <w:numId w:val="3"/>
        </w:numPr>
        <w:ind w:left="3900" w:firstLine="709"/>
        <w:rPr>
          <w:iCs/>
          <w:caps/>
          <w:color w:val="000000" w:themeColor="text1"/>
        </w:rPr>
      </w:pPr>
      <w:r/>
      <w:bookmarkStart w:id="5" w:name="_Toc6"/>
      <w:r>
        <w:rPr>
          <w:rFonts w:eastAsia="Times New Roman"/>
          <w:iCs/>
          <w:color w:val="000000" w:themeColor="text1"/>
          <w:lang w:eastAsia="ru-RU"/>
        </w:rPr>
        <w:t xml:space="preserve">Требования к продукции</w:t>
      </w:r>
      <w:bookmarkEnd w:id="5"/>
      <w:r>
        <w:rPr>
          <w:iCs/>
          <w:caps/>
          <w:color w:val="000000" w:themeColor="text1"/>
        </w:rPr>
      </w:r>
      <w:r>
        <w:rPr>
          <w:iCs/>
          <w:caps/>
          <w:color w:val="000000" w:themeColor="text1"/>
        </w:rPr>
      </w:r>
    </w:p>
    <w:p>
      <w:pPr>
        <w:pStyle w:val="784"/>
        <w:numPr>
          <w:ilvl w:val="1"/>
          <w:numId w:val="3"/>
        </w:numPr>
        <w:ind w:left="0" w:firstLine="709"/>
        <w:tabs>
          <w:tab w:val="clear" w:pos="708" w:leader="none"/>
          <w:tab w:val="left" w:pos="1134" w:leader="none"/>
        </w:tabs>
        <w:rPr>
          <w:color w:val="000000" w:themeColor="text1"/>
        </w:rPr>
      </w:pPr>
      <w:r/>
      <w:bookmarkStart w:id="6" w:name="_Toc7"/>
      <w:r>
        <w:rPr>
          <w:rFonts w:eastAsia="Times New Roman"/>
          <w:color w:val="000000" w:themeColor="text1"/>
          <w:lang w:eastAsia="ru-RU"/>
        </w:rPr>
        <w:t xml:space="preserve">Требования к объёмам и срокам оказания услуг</w:t>
      </w:r>
      <w:bookmarkEnd w:id="6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3"/>
        <w:numPr>
          <w:ilvl w:val="2"/>
          <w:numId w:val="3"/>
        </w:numPr>
        <w:ind w:left="0" w:firstLine="709"/>
        <w:tabs>
          <w:tab w:val="clear" w:pos="708" w:leader="none"/>
          <w:tab w:val="left" w:pos="1134" w:leader="none"/>
          <w:tab w:val="left" w:pos="1276" w:leader="none"/>
        </w:tabs>
        <w:rPr>
          <w:color w:val="000000" w:themeColor="text1"/>
        </w:rPr>
      </w:pPr>
      <w:r/>
      <w:bookmarkStart w:id="7" w:name="_Toc8"/>
      <w:r>
        <w:rPr>
          <w:rFonts w:eastAsia="Times New Roman"/>
          <w:color w:val="000000" w:themeColor="text1"/>
          <w:lang w:eastAsia="ru-RU"/>
        </w:rPr>
        <w:t xml:space="preserve">Требования к перечню и объёму услуг</w:t>
      </w:r>
      <w:bookmarkEnd w:id="7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781"/>
        <w:numPr>
          <w:ilvl w:val="0"/>
          <w:numId w:val="0"/>
        </w:numPr>
        <w:ind w:left="0" w:firstLine="0"/>
        <w:rPr>
          <w:sz w:val="24"/>
          <w:szCs w:val="24"/>
        </w:rPr>
      </w:pPr>
      <w:r/>
      <w:bookmarkStart w:id="8" w:name="_Toc9"/>
      <w:r>
        <w:rPr>
          <w:rFonts w:eastAsia="Times New Roman"/>
          <w:color w:val="000000" w:themeColor="text1"/>
          <w:sz w:val="24"/>
          <w:szCs w:val="24"/>
          <w:lang w:eastAsia="ru-RU"/>
        </w:rPr>
        <w:t xml:space="preserve">Таблица 1. Перечень объектов оказания услуг по разработке технической документации</w:t>
      </w:r>
      <w:r>
        <w:rPr>
          <w:rFonts w:eastAsia="Times New Roman"/>
          <w:sz w:val="24"/>
          <w:szCs w:val="24"/>
        </w:rPr>
        <w:t xml:space="preserve">: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355" w:type="dxa"/>
        <w:tblInd w:w="142" w:type="dxa"/>
        <w:tblLayout w:type="fixed"/>
        <w:tblCellMar>
          <w:left w:w="7" w:type="dxa"/>
          <w:top w:w="0" w:type="dxa"/>
          <w:right w:w="7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553"/>
        <w:gridCol w:w="7093"/>
      </w:tblGrid>
      <w:tr>
        <w:tblPrEx/>
        <w:trPr>
          <w:trHeight w:val="480"/>
          <w:tblHeader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п/п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Наименование СП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Наименование объекта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Сепаратор непрерывной продувки (КЦ-2)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Сепаратор периодической продувки СП-5,5У (КЦ-2)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2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ТЭЦ в г. Советская Гавань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Сосуд-воздухосборник тип 2-0,8-1000 зав. №790/2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5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ТЭЦ в г. Советская Гавань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Сосуд-воздухосборник тип 2-0,8-1000 зав.№790/1 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Здание тепловой камеры № 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Кирпичная дымовая труба (котельная с.Чигири)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Кирпичная дымовая труба (котельная Агромех пгт. Новорайчихинск)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12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ст.№№8а(0)-11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1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№1 100/10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0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ст.№№19-23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ст.№№23-25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№3 100/10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турбины ПТ-50-90/13 ст.№6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0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ст.№№32-32а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ст.№№32а-37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ст.№№37-39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ст.№№39-45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№4 100/8-13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№5 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турбины Т-100-130 ст.№7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ст.№№45-52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турбины Т-100-130 ст.№8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ст.№№52-60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12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ст.№№60-64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турбины Т-100/120-130 ст.№9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поперечной связи между ГПЗ ст.№№64-74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РОУ №8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ТА-1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ТА-2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ТА-3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РРОУ №1 (низкая сторона)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РРОУ №2 (низкая сторона)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5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греющего пара (II отбора) к ПВД-6 турбины ст.№6, рег.№ б/н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греющего пара (III отбора) к ПВД-5 турбины ст.№6, рег №641-Т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отбора пара к ПНД-4 турбины ст. № 6. рег. № 651-Т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от РОУ ст.№ 3 (низкая сторона)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от РРОУ ст.№ 2 (низкая сторона)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РРОУ ст.№ 2 (высокая сторона)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ТА-4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ТА-5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ТА-6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7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к турбине ст. №4 от паропровода поперечной связи котлов ст. №№ 7, 8, 9, 10, задвижки ПП-75 до задвижки ПП-115 и стопорного клапана ТГ ст. №4 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к турбине ст. №5 от паропровода поперечной связи котлов ст. №№ 11, 12, 13, 14, задвижки ПП-115 до задвижки ПП-155 и стопорного клапана ТГ ст. №5 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ВТЭЦ-2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паропровод к турбине ст. №6 от  задвижки ПП-155 до стопорного клапана ТГ ст. №6 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Сепаратор непрерывной продувки (КЦ-2)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Сепаратор периодической продувки СП-5,5У (КЦ-2)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Теплотрассы г. Комсомольска-на-Амуре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ПТС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Кран автомобильный КАТО KR-10H-L рег. № А74-13327ПС, г/п 10 т.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собственных нужд МХ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на эстакаду слива мазута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МХ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хранения мазута РВС-2000 ст. №3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нефтяной 4-х ступенчатый, зав. № 3572, станционный № ОМН-1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нефтяной 4-х ступенчатый, зав. № 2876, станционный № ОМН-2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нефтяной 4-х ступенчатый, зав. № 2020, станционный № ОМН-3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консольный, рециркуляционный мазутный, зав. № У-18, станционный № НРМ-1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консольный, рециркуляционный мазутный, зав. № Г-82, станционный № НРМ-2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артезианский нефтяной, зав. № 780, станционный № НПМ-1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Насос центробежный артезианский нефтяной, зав. № 781, станционный № НПМ-2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Подогреватель мазута ПМ-40-30, зав. № 037, станционный № ПМ-4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Приёмная ёмкость МХ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Ж.д. пути необщего пользования СП БТЭЦ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ПВК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КВГМ-1 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КВГМ-2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13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рециркуляции питательной воды ПЭН-4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производственного отбора от III ступени ПЭН-4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на всас ПЭН-5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рециркуляции питательной воды ПЭН-5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питательной воды производственного отбора от III ступени ПЭН-5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Внутристанционный трубопровод сетевой воды ст.№1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6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Внутристанционный трубопровод сетевой воды ст.№2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Внутристанционный трубопровод сетевой воды ПВК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5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калориферов подогрева воздуха перед воздухоподогревателями на к/а БКЗ 420-140-7 ст. №№1-4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Эстакада слива мазута ММХ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пара РРУ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мазута РВС-2000 ст. № 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мазута РВС-2000 ст. № 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33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мазута РВС-2000 ст № 5 совместно со встроенным подогревателем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горизонтальный стальной РГС-52, ст.№ 1 (для хранения дизельного топлива)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горизонтальный стальной РГС-52, ст.№ 2 (для хранения дизельного топлива)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Резервуар горизонтальный стальной РГС-54, ст.№ 3 (для хранения дизельного топлива)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от ММХ до главного корпуса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Магистральный мазутопровод котельного цеха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котлоагрегата БКЗ-420-140-7 ст. №1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котлоагрегата БКЗ-420-140-7 ст. №2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котлоагрегата БКЗ-420-140-7 ст. №3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Мазутопровод котлоагрегата БКЗ-420-140-7 ст. №4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Подогреватель мазута № 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Подогреватель мазута № 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БлТЭЦ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Подогреватель мазута № 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Трубопровода ГПП КА9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КА10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ТА1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ТА2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ТА3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ТА4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ТА5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 100С-1С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2С-3С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4С-708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ГПП 708-1002С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маслобак турбоагрегата ТА-2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маслобак турбоагрегата ТА-3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КТЭЦ-3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мазутонасосной 27П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1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КТЭЦ-3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Паропровод от мазутонасосной на эстакаду слива мазута 28П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отбора пара от ТГ-3 до ПНД №3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отбора пара от ТГ-3 до ПНД №4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НТЭЦ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Трубопровод отбора пара от ТГ-3 до ПНД № 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КТЭЦ-3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Газовое оборудование и газопроводы к/а-1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W w:w="155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КТЭЦ-3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3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Газовое оборудование и газопроводы к/а-2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</w:tr>
    </w:tbl>
    <w:p>
      <w:pPr>
        <w:pStyle w:val="780"/>
        <w:numPr>
          <w:ilvl w:val="0"/>
          <w:numId w:val="0"/>
        </w:numPr>
        <w:ind w:left="0"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1"/>
        <w:numPr>
          <w:ilvl w:val="0"/>
          <w:numId w:val="0"/>
        </w:numPr>
        <w:ind w:left="0" w:firstLine="0"/>
        <w:rPr>
          <w:sz w:val="24"/>
          <w:szCs w:val="24"/>
        </w:rPr>
      </w:pPr>
      <w:r/>
      <w:bookmarkStart w:id="9" w:name="_Toc10"/>
      <w:r>
        <w:rPr>
          <w:sz w:val="24"/>
          <w:szCs w:val="24"/>
          <w:lang w:eastAsia="ru-RU"/>
        </w:rPr>
        <w:t xml:space="preserve">Таблица 2. Перечень разрабатываемой технической документации</w:t>
      </w:r>
      <w:r>
        <w:rPr>
          <w:sz w:val="24"/>
          <w:szCs w:val="24"/>
        </w:rPr>
        <w:t xml:space="preserve">: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62"/>
        <w:gridCol w:w="1508"/>
        <w:gridCol w:w="5504"/>
        <w:gridCol w:w="2371"/>
      </w:tblGrid>
      <w:tr>
        <w:tblPrEx/>
        <w:trPr>
          <w:trHeight w:val="630"/>
          <w:tblHeader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СП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разрабатываемой технической документации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Сепаратор непрерывной продувки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3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Сепаратор периодической продувки СП-5,5У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ТЭЦ в г. Советская Гавань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сосуд-воздухосборник тип 2-0,8-1000 зав. №790/2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ТЭЦ в г. Советская Гавань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сосуд-воздухосборник тип 2-0,8-1000 зав.№790/1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Здание тепловой камеры №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3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Кирпичная дымовая труба (котельная с.Чигири)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Кирпичная дымовая труба (котельная Агромех пгт. Новорайчихинск)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ст.№№8а(0)-11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№1 100/10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ст.№№19-23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ст.№№23-25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№3 100/10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турбины ПТ-50-90/13 ст.№6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1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ст.№№32-32а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ст.№№32а-37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ст.№№37-39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ст.№№39-45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№4 100/8-13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№5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турбины Т-100-130 ст.№7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ст.№№45-52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89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турбины Т-100-130 ст.№8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ст.№№52-60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ст.№№60-64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турбины Т-100/120-130 ст.№9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поперечной связи между ГПЗ ст.№№64-74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РОУ №8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3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ХТЭЦ-1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Маслобак турбоагрегата ТА-1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ХТЭЦ-1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Маслобак турбоагрегата ТА-2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ХТЭЦ-1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Маслобак турбоагрегата ТА-3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РРОУ №1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РРОУ №2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греющего пара (II отбора) к ПВД-6 турбины ст.№6, рег.№ б/н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греющего пара (III отбора) к ПВД-5 турбины ст.№6, рег №641-Т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отбора пара к ПНД-4 турбины ст. № 6. рег. № 651-Т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от РОУ ст.№ 3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от РРОУ ст.№ 2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39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РРОУ ст.№ 2 (высокая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ТА-4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ТА-5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ТА-6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01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к турбине ст. №4 от паропровода поперечной связи котлов ст. №№ 7, 8, 9, 10, задвижки ПП-75 до задвижки ПП-115 и стопорного клапана ТГ ст. №4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89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к турбине ст. №5 от паропровода поперечной связи котлов ст. №№ 11, 12, 13, 14, задвижки ПП-115 до задвижки ПП-155 и стопорного клапана ТГ ст. №5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7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Главный паропровод к турбине ст. №6 от  задвижки ПП-155 до стопорного клапана ТГ ст. №6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3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Сепаратор непрерывной продувки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Дубликат паспорта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Сепаратор периодической продувки СП-5,5У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Дубликат паспорта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3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Теплотрассы г. Комсомольска-на-Амуре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49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Кран автомобильный КАТО KR-10H-L рег. № А74-13327ПС, г/п 10 т.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Разработка руководства по эксплуатации.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собственных нужд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на эстакаду слива мазута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Паспорт,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хранения мазута РВС-2000 ст.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Паспорт,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63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нефтяной 4-х ступенчатый, зав. № 3572, станционный № ОМН-1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91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нефтяной 4-х ступенчатый, зав. № 2876, станционный № ОМН-2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1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нефтяной 4-х ступенчатый, зав. № 2020, станционный № ОМН-3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6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консольный, рециркуляционный мазутный, зав. № У-18, станционный № НРМ-1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1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консольный, рециркуляционный мазутный, зав. № Г-82, станционный № НРМ-2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59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артезианский нефтяной, зав. № 780, станционный № НПМ-1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39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Насос центробежный артезианский нефтяной, зав. № 781,  станционный № НПМ-2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Подогреватель мазута ПМ-40-30, зав. № 037, станционный № ПМ-4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Приёмная ёмкость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Паспорт,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Ж.д. пути необщего пользования СП БТЭЦ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Технический паспорт, Инструкция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ПВК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5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КВГМ-1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5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КВГМ-2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0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рециркуляции питательной воды ПЭН-4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61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производственного отбора от III ступени ПЭН-4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99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69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на всас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рециркуляции питательной воды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питательной воды производственного отбора от III ступени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Внутристанционный трубопровод сетевой воды ст.№1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Внутристанционный трубопровод сетевой воды ст.№2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Внутристанционный трубопровод сетевой воды ПВК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3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калориферов подогрева воздуха перед воздухоподогревателями на к/а БКЗ 420-140-7 ст. №№1-4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Эстакада слива мазута ММХ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 и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пара РРУ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4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мазута РВС-2000 ст. №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 и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3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79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мазута РВС-2000 ст. №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 и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9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мазута РВС-2000 ст № 5 совместно со встроенным подогревателем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 и 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26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горизонтальный стальной РГС-52, ст.№ 1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горизонтальный стальной РГС-52, ст.№ 2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Резервуар горизонтальный стальной РГС-54, ст.№ 3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от ММХ до главного корпуса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9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Магистральный мазутопровод котельного цеха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котлоагрегата БКЗ-420-140-7 ст. №1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котлоагрегата БКЗ-420-140-7 ст. №2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3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котлоагрегата БКЗ-420-140-7 ст.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26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89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Мазутопровод котлоагрегата БКЗ-420-140-7 ст. №4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Подогреватель мазута №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Подогреватель мазута №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15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Подогреватель мазута №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Руководство по эксплуатации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38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6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23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Трубопровода ГПП КА9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99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КА10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100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ТА1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ТА2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20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ТА3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164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ТА4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ТА5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/>
          </w:p>
        </w:tc>
      </w:tr>
      <w:tr>
        <w:tblPrEx/>
        <w:trPr>
          <w:trHeight w:val="92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Главный маслобак турбоагрегата ТА-2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Главный маслобак турбоагрегата ТА-3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 100С-1С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1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108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2С-3С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4С-708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ГПП 708-1002С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111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мазутонасосной 27П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112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Паропровод от мазутонасосной на эстакаду слива мазута 28П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113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отбора пара от ТГ-3 до ПНД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114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отбора пара от ТГ-3 до ПНД №4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115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Трубопровод отбора пара от ТГ-3 до ПНД №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116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Газовое оборудование и газопроводы к/а-1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000000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6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160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  <w:t xml:space="preserve">117</w:t>
            </w:r>
            <w:r/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550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</w:rPr>
              <w:t xml:space="preserve">Газовое оборудование и газопроводы к/а-2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bottom w:val="single" w:color="000000" w:sz="4" w:space="0"/>
              <w:right w:val="single" w:color="000000" w:sz="4" w:space="0"/>
            </w:tcBorders>
            <w:tcW w:w="237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</w:rPr>
              <w:t xml:space="preserve">Паспорт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783"/>
        <w:numPr>
          <w:ilvl w:val="2"/>
          <w:numId w:val="3"/>
        </w:numPr>
        <w:ind w:left="0" w:firstLine="709"/>
        <w:rPr>
          <w:color w:val="000000" w:themeColor="text1"/>
        </w:rPr>
      </w:pPr>
      <w:r/>
      <w:bookmarkStart w:id="10" w:name="_Toc11"/>
      <w:r>
        <w:rPr>
          <w:color w:val="000000" w:themeColor="text1"/>
          <w:lang w:eastAsia="ru-RU"/>
        </w:rPr>
        <w:t xml:space="preserve">Требования к срокам оказания услуг</w:t>
      </w:r>
      <w:bookmarkEnd w:id="10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numPr>
          <w:ilvl w:val="0"/>
          <w:numId w:val="0"/>
        </w:numPr>
        <w:ind w:left="0" w:firstLine="0"/>
        <w:rPr>
          <w:rFonts w:ascii="Times New Roman" w:hAnsi="Times New Roman" w:cs="Times New Roman"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1013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84"/>
        <w:gridCol w:w="2405"/>
        <w:gridCol w:w="2120"/>
        <w:gridCol w:w="2697"/>
        <w:gridCol w:w="193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п/п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услуг/ этапа услуг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pStyle w:val="871"/>
              <w:jc w:val="center"/>
              <w:keepNext w:val="0"/>
              <w:spacing w:before="40" w:after="4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Требования к началу срока оказания услуг/ этапа услуг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vAlign w:val="center"/>
            <w:textDirection w:val="lrTb"/>
            <w:noWrap w:val="false"/>
          </w:tcPr>
          <w:p>
            <w:pPr>
              <w:pStyle w:val="871"/>
              <w:jc w:val="center"/>
              <w:keepNext w:val="0"/>
              <w:spacing w:before="40" w:after="4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Требования к окончанию срока выполнения услуг / этапа услуг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871"/>
              <w:jc w:val="center"/>
              <w:keepNext w:val="0"/>
              <w:spacing w:before="40" w:after="40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Примечание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8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4" w:type="dxa"/>
            <w:vAlign w:val="center"/>
            <w:textDirection w:val="lrTb"/>
            <w:noWrap w:val="false"/>
          </w:tcPr>
          <w:p>
            <w:pPr>
              <w:pStyle w:val="869"/>
              <w:numPr>
                <w:ilvl w:val="0"/>
                <w:numId w:val="4"/>
              </w:numPr>
              <w:contextualSpacing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5" w:type="dxa"/>
            <w:vAlign w:val="center"/>
            <w:textDirection w:val="lrTb"/>
            <w:noWrap w:val="false"/>
          </w:tcPr>
          <w:p>
            <w:pPr>
              <w:pStyle w:val="780"/>
              <w:keepLines/>
              <w:keepNext/>
              <w:spacing w:before="0" w:after="0" w:line="240" w:lineRule="auto"/>
              <w:widowControl w:val="off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области.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0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 даты заключения договора</w: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7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160"/>
              <w:widowControl w:val="o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31.12.2026</w:t>
            </w:r>
            <w:r>
              <w:rPr>
                <w:rFonts w:ascii="Times New Roman" w:hAnsi="Times New Roman" w:cs="Times New Roman"/>
                <w:i/>
                <w:iCs/>
              </w:rPr>
            </w:r>
            <w:r>
              <w:rPr>
                <w:rFonts w:ascii="Times New Roman" w:hAnsi="Times New Roman" w:cs="Times New Roman"/>
                <w:i/>
                <w:i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33" w:type="dxa"/>
            <w:vAlign w:val="center"/>
            <w:textDirection w:val="lrTb"/>
            <w:noWrap w:val="false"/>
          </w:tcPr>
          <w:p>
            <w:pPr>
              <w:pStyle w:val="780"/>
              <w:spacing w:before="0" w:after="160"/>
              <w:widowControl w:val="off"/>
            </w:pPr>
            <w:r/>
            <w:r/>
          </w:p>
        </w:tc>
      </w:tr>
    </w:tbl>
    <w:p>
      <w:pPr>
        <w:pStyle w:val="7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78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График оказания услуг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tbl>
      <w:tblPr>
        <w:tblW w:w="10375" w:type="dxa"/>
        <w:tblInd w:w="-28" w:type="dxa"/>
        <w:tblLayout w:type="fixed"/>
        <w:tblCellMar>
          <w:left w:w="28" w:type="dxa"/>
          <w:top w:w="28" w:type="dxa"/>
          <w:right w:w="28" w:type="dxa"/>
          <w:bottom w:w="28" w:type="dxa"/>
        </w:tblCellMar>
        <w:tblLook w:val="04A0" w:firstRow="1" w:lastRow="0" w:firstColumn="1" w:lastColumn="0" w:noHBand="0" w:noVBand="1"/>
      </w:tblPr>
      <w:tblGrid>
        <w:gridCol w:w="456"/>
        <w:gridCol w:w="1692"/>
        <w:gridCol w:w="5501"/>
        <w:gridCol w:w="1591"/>
        <w:gridCol w:w="1135"/>
      </w:tblGrid>
      <w:tr>
        <w:tblPrEx/>
        <w:trPr>
          <w:trHeight w:val="653"/>
          <w:tblHeader/>
        </w:trPr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tabs>
                <w:tab w:val="left" w:pos="142" w:leader="none"/>
                <w:tab w:val="clear" w:pos="708" w:leader="none"/>
              </w:tabs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п/п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Наименование структурного подразделения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ru-RU" w:eastAsia="ru-RU" w:bidi="ar-SA"/>
              </w:rPr>
              <w:t xml:space="preserve">Наименование 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Дата начала 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Дата окончания 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Сепаратор непрерывной продувки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31.08.2026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Сепаратор периодической продувки СП-5,5У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31.08.2026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ТЭЦ в г. Советская Гавань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сосуд-воздухосборник тип 2-0,8-1000 зав. №790/2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31.08.2026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ТЭЦ в г. Советская Гавань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сосуд-воздухосборник тип 2-0,8-1000 зав.№790/1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31.08.2026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Здание тепловой камеры №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Кирпичная дымовая труба (котельная с.Чигири)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Кирпичная дымовая труба (котельная Агромех пгт. Новорайчихинск)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ст.№№8а(0)-11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№1 100/10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ст.№№19-23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ст.№№23-25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№3 100/10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турбины ПТ-50-90/13 ст.№6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ст.№№32-32а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ст.№№32а-37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ст.№№37-39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ст.№№39-45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№4 100/8-13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№5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турбины Т-100-130 ст.№7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728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ст.№№45-52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турбины Т-100-130 ст.№8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ст.№№52-60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ст.№№60-64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турбины Т-100/120-130 ст.№9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поперечной связи между ГПЗ ст.№№64-74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ХТЭЦ-1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РОУ №8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ТА-1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ТА-2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ХТЭЦ-1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Маслобак турбоагрегата ТА-3 ПР-25/30-90/10-0,9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РРОУ №1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РРОУ №2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греющего пара (II отбора) к ПВД-6 турбины ст.№6, рег.№ б/н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греющего пара (III отбора) к ПВД-5 турбины ст.№6, рег №641-Т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отбора пара к ПНД-4 турбины ст. № 6. рег. № 651-Т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от РОУ ст.№ 3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от РРОУ ст.№ 2 (низкая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39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РРОУ ст.№ 2 (высокая сторона)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ТА-4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ТА-5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ТА-6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к турбине ст. №4 от паропровода поперечной связи котлов ст. №№ 7, 8, 9, 10, задвижки ПП-75 до задвижки ПП-115 и стопорного клапана ТГ ст. №4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37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к турбине ст. №5 от паропровода поперечной связи котлов ст. №№ 11, 12, 13, 14, задвижки ПП-115 до задвижки ПП-155 и стопорного клапана ТГ ст. №5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ВТЭЦ-2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Главный паропровод к турбине ст. №6 от  задвижки ПП-155 до стопорного клапана ТГ ст. №6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Сепаратор непрерывной продувки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Сепаратор периодической продувки СП-5,5У (КЦ-2)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КТС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Теплотрассы г. Комсомольска-на-Амуре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28.12.2026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49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ПТС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Кран автомобильный КАТО KR-10H-L рег. № А74-13327ПС, г/п 10 т.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собственных нужд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на эстакаду слива мазута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хранения мазута РВС-2000 ст.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нефтяной 4-х ступенчатый, зав. № 3572, станционный № ОМН-1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нефтяной 4-х ступенчатый, зав. № 2876, станционный № ОМН-2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нефтяной 4-х ступенчатый, зав. № 2020, станционный № ОМН-3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консольный, рециркуляционный мазутный, зав. № У-18, станционный № НРМ-1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консольный, рециркуляционный мазутный, зав. № Г-82, станционный № НРМ-2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59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артезианский нефтяной, зав. № 780, станционный № НПМ-1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Насос центробежный артезианский нефтяной, зав. № 781,  станционный № НПМ-2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Подогреватель мазута ПМ-40-30, зав. № 037, станционный № ПМ-4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Приёмная ёмкость 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Ж.д. пути необщего пользования СП БТЭЦ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01.09.2026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30.11.2026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ПВК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atLeas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КВГМ-1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atLeas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КВГМ-2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atLeas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рециркуляции питательной воды ПЭН-4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atLeas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производственного отбора от III ступени ПЭН-4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69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на всас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рециркуляции питательной воды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питательной воды производственного отбора от III ступени ПЭН-5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Внутристанционный трубопровод сетевой воды ст.№1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Внутристанционный трубопровод сетевой воды ст.№2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Внутристанционный трубопровод сетевой воды ПВК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калориферов подогрева воздуха перед воздухоподогревателями на к/а БКЗ 420-140-7 ст. №№1-4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Эстакада слива мазута ММХ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пара РРУ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мазута РВС-2000 ст. №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79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мазута РВС-2000 ст. №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643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мазута РВС-2000 ст № 5 совместно со встроенным подогревателем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533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горизонтальный стальной РГС-52, ст.№ 1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горизонтальный стальной РГС-52, ст.№ 2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Резервуар горизонтальный стальной РГС-54, ст.№ 3 (для хранения дизельного топлива)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от ММХ до главного корпуса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Магистральный мазутопровод котельного цеха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котлоагрегата БКЗ-420-140-7 ст. №1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котлоагрегата БКЗ-420-140-7 ст. №2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котлоагрегата БКЗ-420-140-7 ст.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89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Мазутопровод котлоагрегата БКЗ-420-140-7 ст. №4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Подогреватель мазута №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Подогреватель мазута №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БлТЭЦ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Подогреватель мазута №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Трубопровода ГПП КА9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99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КА10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100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ТА1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ТА2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ТА3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ТА4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ТА5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 100С-1С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2С-3С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4С-708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108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АТЭЦ-1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ГПП 708-1002С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109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маслобак турбоагрегата ТА-2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АТЭЦ-1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left"/>
              <w:spacing w:before="0" w:after="0" w:afterAutospacing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Главный маслобак турбоагрегата ТА-3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u w:val="none"/>
                <w:vertAlign w:val="baseline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111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мазутонасосной 27П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112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Паропровод от мазутонасосной на эстакаду слива мазута 28П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113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отбора пара от ТГ-3 до ПНД №3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01.10.2026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114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отбора пара от ТГ-3 до ПНД №4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01.10.2026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115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НТЭЦ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Трубопровод отбора пара от ТГ-3 до ПНД №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780"/>
              <w:contextualSpacing w:val="0"/>
              <w:jc w:val="center"/>
              <w:spacing w:before="0" w:after="0" w:line="283" w:lineRule="exact"/>
              <w:widowControl w:val="off"/>
              <w:rPr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01.10.2026</w:t>
            </w:r>
            <w:r>
              <w:rPr>
                <w:szCs w:val="20"/>
              </w:rPr>
            </w:r>
            <w:r>
              <w:rPr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31.12.2026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116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Газовое оборудование и газопроводы к/а-1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6"/>
        </w:trPr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456" w:type="dxa"/>
            <w:vAlign w:val="center"/>
            <w:textDirection w:val="lrTb"/>
            <w:noWrap w:val="false"/>
          </w:tcPr>
          <w:p>
            <w:pPr>
              <w:pStyle w:val="780"/>
              <w:ind w:firstLine="0"/>
              <w:jc w:val="center"/>
              <w:spacing w:before="0" w:after="0" w:line="240" w:lineRule="auto"/>
              <w:widowControl w:val="off"/>
              <w:rPr>
                <w:szCs w:val="20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117</w:t>
            </w:r>
            <w:r>
              <w:rPr>
                <w:szCs w:val="20"/>
                <w:lang w:val="ru-RU" w:eastAsia="ru-RU" w:bidi="ar-SA"/>
              </w:rPr>
            </w:r>
            <w:r>
              <w:rPr>
                <w:szCs w:val="20"/>
                <w:lang w:val="ru-RU" w:eastAsia="ru-RU" w:bidi="ar-SA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69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КТЭЦ-3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5501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afterAutospacing="0" w:line="240" w:lineRule="auto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0"/>
                <w:szCs w:val="20"/>
                <w:u w:val="none"/>
                <w:lang w:val="ru-RU" w:eastAsia="ru-RU" w:bidi="ar-SA"/>
              </w:rPr>
              <w:t xml:space="preserve">Газовое оборудование и газопроводы к/а-2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83" w:lineRule="exact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position w:val="0"/>
                <w:sz w:val="20"/>
                <w:szCs w:val="20"/>
                <w:u w:val="none"/>
                <w:vertAlign w:val="baseline"/>
                <w:lang w:val="ru-RU" w:eastAsia="ru-RU" w:bidi="ar-SA"/>
              </w:rPr>
              <w:t xml:space="preserve">с  даты заключения договора</w:t>
            </w:r>
            <w:r>
              <w:rPr>
                <w:szCs w:val="20"/>
                <w:lang w:val="ru-RU" w:eastAsia="ru-RU" w:bidi="ar-SA"/>
              </w:rPr>
            </w:r>
            <w:r/>
          </w:p>
        </w:tc>
        <w:tc>
          <w:tcPr>
            <w:shd w:val="clear" w:color="ffffff" w:fill="ffffff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  <w:t xml:space="preserve">31.10.2026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707" w:bottom="851" w:left="1134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84"/>
        <w:numPr>
          <w:ilvl w:val="1"/>
          <w:numId w:val="3"/>
        </w:numPr>
        <w:ind w:left="0" w:firstLine="709"/>
        <w:rPr>
          <w:color w:val="000000" w:themeColor="text1"/>
          <w:lang w:eastAsia="ru-RU"/>
        </w:rPr>
      </w:pPr>
      <w:r/>
      <w:bookmarkStart w:id="11" w:name="_Toc12"/>
      <w:r>
        <w:rPr>
          <w:color w:val="000000" w:themeColor="text1"/>
          <w:lang w:eastAsia="ru-RU"/>
        </w:rPr>
        <w:t xml:space="preserve">Требования к качеству услуг</w:t>
      </w:r>
      <w:bookmarkEnd w:id="11"/>
      <w:r>
        <w:rPr>
          <w:color w:val="000000" w:themeColor="text1"/>
          <w:lang w:eastAsia="ru-RU"/>
        </w:rPr>
      </w:r>
      <w:r>
        <w:rPr>
          <w:color w:val="000000" w:themeColor="text1"/>
          <w:lang w:eastAsia="ru-RU"/>
        </w:rPr>
      </w:r>
    </w:p>
    <w:p>
      <w:pPr>
        <w:pStyle w:val="781"/>
        <w:numPr>
          <w:ilvl w:val="0"/>
          <w:numId w:val="0"/>
        </w:numPr>
        <w:ind w:left="0" w:firstLine="0"/>
        <w:jc w:val="left"/>
        <w:rPr>
          <w:sz w:val="24"/>
          <w:szCs w:val="24"/>
        </w:rPr>
      </w:pPr>
      <w:r/>
      <w:bookmarkStart w:id="12" w:name="_Toc13"/>
      <w:r>
        <w:rPr>
          <w:sz w:val="24"/>
          <w:szCs w:val="24"/>
          <w:lang w:eastAsia="ru-RU"/>
        </w:rPr>
        <w:t xml:space="preserve">Таблица 3. Требования к качеству услуг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80"/>
        <w:jc w:val="both"/>
        <w:spacing w:before="0" w:after="0" w:line="240" w:lineRule="auto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eastAsia="Calibri" w:cs="Times New Roman"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Наименование услуг/этапа услуг: </w:t>
      </w:r>
      <w:r>
        <w:rPr>
          <w:rFonts w:ascii="Times New Roman" w:hAnsi="Times New Roman" w:eastAsia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 xml:space="preserve">«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ОКПД2 71.20.12.000 Оказание услуг по разработке паспортов и руководств по эксплуатации для нужд СП, расположенных в Хабаровском крае, Приморском крае, Амурской области».</w:t>
      </w:r>
      <w:r>
        <w:rPr>
          <w:rFonts w:ascii="Times New Roman" w:hAnsi="Times New Roman" w:eastAsia="Calibri" w:cs="Times New Roman"/>
          <w:i/>
          <w:iCs/>
          <w:color w:val="000000" w:themeColor="text1"/>
          <w:sz w:val="24"/>
          <w:szCs w:val="24"/>
        </w:rPr>
      </w:r>
      <w:r>
        <w:rPr>
          <w:rFonts w:ascii="Times New Roman" w:hAnsi="Times New Roman" w:eastAsia="Calibri" w:cs="Times New Roman"/>
          <w:i/>
          <w:iCs/>
          <w:color w:val="000000" w:themeColor="text1"/>
          <w:sz w:val="24"/>
          <w:szCs w:val="24"/>
        </w:rPr>
      </w:r>
    </w:p>
    <w:tbl>
      <w:tblPr>
        <w:tblStyle w:val="1002"/>
        <w:tblW w:w="14884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72"/>
        <w:gridCol w:w="2188"/>
        <w:gridCol w:w="6966"/>
        <w:gridCol w:w="2409"/>
        <w:gridCol w:w="2548"/>
      </w:tblGrid>
      <w:tr>
        <w:tblPrEx/>
        <w:trPr/>
        <w:tc>
          <w:tcPr>
            <w:tcW w:w="772" w:type="dxa"/>
            <w:vAlign w:val="center"/>
            <w:vMerge w:val="restart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vMerge w:val="restart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Наименование параметра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vAlign w:val="center"/>
            <w:vMerge w:val="restart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Требование заказчика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495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vMerge w:val="continue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vMerge w:val="continue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vAlign w:val="center"/>
            <w:vMerge w:val="continue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4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2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3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4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548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5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оказанию услуг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Общие требования к оказанию услуг 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6966" w:type="dxa"/>
            <w:textDirection w:val="lrTb"/>
            <w:noWrap w:val="false"/>
          </w:tcPr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Услуги должны проводиться в соответствии с действующими нормативными документами: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Федерального закона №116-ФЗ (действующая редакция) «О промышленной безопасности опасных производственных объектов» от 21.07.1997;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Федерального закона №184-ФЗ (действующая редакция) «О техническом регулировании» от 27.12.2002;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Федеральных норм и правил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РТН от 15.12.2020 №536);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Федеральных норм и правил в области промышленной безопасности «Правила проведения экспертизы промышленной безопасности» (утв. Приказом РТН от 20.10.2020 №420, с изменением, утв. Приказом РТН от 03.07.2015 №266);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РД 10-249-98 (с изм. №1, РДИ 10-413(249)-00) «Нормы расчета на прочность стационарных котлов и трубопроводов пара и горячей воды» (утв. </w:t>
            </w:r>
            <w:r>
              <w:rPr>
                <w:rFonts w:ascii="Times New Roman" w:hAnsi="Times New Roman" w:eastAsia="Times New Roman" w:cs="Times New Roman"/>
                <w:iCs/>
                <w:spacing w:val="2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Постановлением Госгортехнадзора России от 25.08.1998 №50)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ТУ 14-3Р-55-2001 «Трубы стальные бесшовные для паровых котлов и трубопроводов» (утв. Госстандартом России 21.05.2001);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СО 153-34.17.464-2003 «Инструкция по продлению срока службы трубопроводов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  <w:t xml:space="preserve">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  <w:t xml:space="preserve">III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 w:bidi="ar-SA"/>
              </w:rPr>
              <w:t xml:space="preserve">IV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категорий» (утв. Приказом Минэнерго РФ от 30.06.2003 №275);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СО 34.17.302-97 (ОП 501 ЦД-97) Котлы паровые и водогрейные, трубопроводы пара и горячей воды, сосуды. Сварные соединения. Контроль качества. Ультразвуковой контроль. Основные положения (утв. РАО «ЕЭС России» 12.12.1996, с изм. №1 от 11.12.1998);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РД 13-03-2006 «Методические рекомендации о порядке проведения вихретокового контроля технических устройств и сооружений, применяемых и эксплуатируемых на опасных производственных объектах» (утв. Приказом РТН от 13.12.2006 №1072);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РД 13-05-2006 «Методические рекомендации о порядке проведения магнито-порошкового контроля технических устройств и сооружений, применяемых и эксплуатируемых на опасных производственных объектах» (утв. Приказом РТН от 13.12.2006 №1072);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РД 13-06-2006 «Методические рекомендации о порядке проведения капиллярного контроля технических устройств и сооружений, применяемых и эксплуатируемых на опасных производственных объектах» (утв. Приказом РТН от 13.12.2006 №1072);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Методические указания по проведению технического освидетельствования паровых и водогрейных котлов, сосудов, работающих под давлением, трубопроводов пара и горячей воды, утв. Постановлением Госгортехнадзора России от 23.08.1993 №30;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ные нормы и правила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 (утв. Приказом РТН от 01.12.2020 №478, действующая редакция);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Неразрушающий контроль, разрушающие виды испытаний, а также расчеты на прочность должны быть проведены в соответствии с требованиями действующих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в России межгосударственных стандартов (ГОСТ) и национальных стандартов РФ (ГОСТ Р);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shd w:val="clear" w:color="auto" w:fill="ffffff"/>
                <w:lang w:val="ru-RU" w:eastAsia="ru-RU" w:bidi="ar-SA"/>
              </w:rPr>
              <w:t xml:space="preserve">- Правила технической эксплуатации тепловых энергоустановок (утв. Приказом Минэнерго от 24.03.2003 №115);</w:t>
            </w:r>
            <w:r>
              <w:rPr>
                <w:sz w:val="24"/>
                <w:szCs w:val="24"/>
                <w:shd w:val="clear" w:color="auto" w:fill="ffffff"/>
              </w:rPr>
            </w:r>
            <w:r>
              <w:rPr>
                <w:sz w:val="24"/>
                <w:szCs w:val="24"/>
                <w:shd w:val="clear" w:color="auto" w:fill="ffffff"/>
              </w:rPr>
            </w:r>
          </w:p>
          <w:p>
            <w:pPr>
              <w:pStyle w:val="780"/>
              <w:ind w:firstLine="196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ГОСТ 31937-2024 «Здания и сооружения. Правила обследования и мониторинга технического состояния»;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ГОСТ 21.705-2016 «Правила выполнения рабочей документации тепловых сетей»;</w:t>
            </w:r>
            <w:r>
              <w:rPr>
                <w:rFonts w:eastAsia="Calibri"/>
                <w:iCs/>
                <w:sz w:val="24"/>
                <w:szCs w:val="24"/>
              </w:rPr>
            </w:r>
            <w:r>
              <w:rPr>
                <w:rFonts w:eastAsia="Calibri"/>
                <w:iCs/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Федеральные нормы и Правила в области промышленной безопасности «Правила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val="ru-RU" w:eastAsia="ru-RU" w:bidi="ar-SA"/>
              </w:rPr>
              <w:t xml:space="preserve">безопасной эксплуатации технологических трубопроводов», утвержденных приказом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Федеральной службы по экологическому, технологическому и атомному надзору от 21.12.2021 №444;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val="ru-RU" w:eastAsia="ru-RU" w:bidi="ar-SA"/>
              </w:rPr>
              <w:t xml:space="preserve">-СО 34.23.501-2005 «Методические указания по эксплуатации мазутных хозяйств тепловых электростанций», утв. Приказом РАО «ЕЭС России» 04.04.2005;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-ГОСТ 58404-2019 «Национальный стандарт РФ Станции и комплексы Автозаправочные. Правила технической эксплуатации», утв. Приказом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val="ru-RU" w:eastAsia="ru-RU" w:bidi="ar-SA"/>
              </w:rPr>
              <w:t xml:space="preserve">Федерального агентства по техническому регулированию и метрологии от 25.04.2019 №167-ст;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-«Правил эксплуатации и обслуживания железнодорожных путей необщего пользования», утв. Приказом Министерства сообщений РФ от 18.06.2003 №26;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-«Стандарт организации здания и сооружения ТЭС.Организация эксплуатации и технического обслуживания. Нормы и требования» (СТО 17330282.27.100-003-2008);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-ГОСТ 31937-2024 «Здания и сооружения. Правила обследования и мониторинга технического состояния»;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rFonts w:eastAsia="Calibri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ГОСТ Р 2.601-2019 «Национальный стандарт РФ. Единая система конструкторской документации. Эксплуатационные документы»</w:t>
            </w:r>
            <w:r>
              <w:rPr>
                <w:rFonts w:eastAsia="Calibri"/>
                <w:iCs/>
                <w:sz w:val="24"/>
                <w:szCs w:val="24"/>
              </w:rPr>
            </w:r>
            <w:r>
              <w:rPr>
                <w:rFonts w:eastAsia="Calibri"/>
                <w:iCs/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val="ru-RU" w:eastAsia="ru-RU" w:bidi="ar-SA"/>
              </w:rPr>
              <w:t xml:space="preserve">ехнический Регламент Таможенного союза «О безопасности машин и оборудования» (ТР ТС 010/2011).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pStyle w:val="78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Участник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</w:r>
            <w:r/>
          </w:p>
          <w:p>
            <w:pPr>
              <w:pStyle w:val="78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должен предоставить в заявке согласие выполнить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</w:r>
            <w:r/>
          </w:p>
          <w:p>
            <w:pPr>
              <w:pStyle w:val="78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работы (оказать услуги), полностью соответствующие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</w:r>
            <w:r/>
          </w:p>
          <w:p>
            <w:pPr>
              <w:pStyle w:val="78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настоящим техническим требованиям, по форме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</w:r>
            <w:r/>
          </w:p>
          <w:p>
            <w:pPr>
              <w:pStyle w:val="780"/>
              <w:jc w:val="center"/>
              <w:spacing w:before="0" w:after="0" w:line="240" w:lineRule="auto"/>
              <w:widowControl w:val="off"/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Технического предложения, установленной в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</w:r>
            <w:r/>
          </w:p>
          <w:p>
            <w:pPr>
              <w:pStyle w:val="780"/>
              <w:jc w:val="center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Документации о закупке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W w:w="9154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способам оказания услуг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188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 w:val="off"/>
              <w:rPr>
                <w:strike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Непосредственное участие персонала Исполнителя при оказани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и услуг</w:t>
            </w:r>
            <w:r>
              <w:rPr>
                <w:strike/>
                <w:sz w:val="24"/>
                <w:szCs w:val="24"/>
              </w:rPr>
            </w:r>
            <w:r>
              <w:rPr>
                <w:strike/>
                <w:sz w:val="24"/>
                <w:szCs w:val="24"/>
              </w:rPr>
            </w:r>
          </w:p>
        </w:tc>
        <w:tc>
          <w:tcPr>
            <w:shd w:val="clear" w:color="auto" w:fill="auto"/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При оказании услуг, Исполнитель осуществляет выезды на каждый объект.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auto" w:fill="auto"/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548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процедурам оказания услуг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Организационные технические мероприятия по допуску персонала исполнителя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Перед началом оказания услуг, но не позднее, чем за 10 дней до начала, Исполнитель обязан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Соблюдение режима охраны объекта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Оказание услуг проводится в соответствии с требованиями Положения о допуске персонала строительно-монтажных организаций и командированного персонала к выполнению работ/услуг на объектах АО «ДГК».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Объем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shd w:val="clear" w:color="auto" w:fill="ffffff"/>
              <w:widowControl w:val="off"/>
              <w:rPr>
                <w:rFonts w:ascii="Times New Roman" w:hAnsi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Разработка паспортов:</w:t>
            </w:r>
            <w:r>
              <w:rPr>
                <w:rFonts w:ascii="Times New Roman" w:hAnsi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1. Паспорта на оборудование, работающее под давлением, указанное в таблице 1, должны быть оформлены п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о форме согласно приложению № 5 - 7 «Правил промышленной безопасности при использовании оборудования, работающего под избыточным давлением», Утвержденных приказом Федеральной службы по экологическому, технологическому и атомному надзору от 15.12.2020 №536;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2. Паспорта на технологические трубопроводы (мазутопроводы), указанные в таблице 1 должны быть оформлены по форме, согласно требованиям п.11 Федеральных норм и Правил в области промышленной безопасности «Правила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0"/>
                <w:lang w:val="ru-RU" w:eastAsia="ru-RU" w:bidi="ar-SA"/>
              </w:rPr>
              <w:t xml:space="preserve">безопасной эксплуатации технологических трубопроводов», утвержденных приказом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Федеральной службы по экологическому, технологическому и атомному надзору от 21.12.2021 №444;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3. Паспорта на резервуары хранения мазута, указанные в таблице 1 должны быть оформлены по форме в соответствии приложению Г </w:t>
            </w:r>
            <w:r>
              <w:rPr>
                <w:rFonts w:ascii="Times New Roman" w:hAnsi="Times New Roman" w:eastAsia="Times New Roman" w:cs="Times New Roman"/>
                <w:color w:val="auto"/>
                <w:spacing w:val="-4"/>
                <w:sz w:val="24"/>
                <w:szCs w:val="24"/>
                <w:lang w:val="ru-RU" w:eastAsia="ru-RU" w:bidi="ar-SA"/>
              </w:rPr>
              <w:t xml:space="preserve">СО 34.23.501-2005 «Методические указания по эксплуатации мазутных хозяйств тепловых электростанций», утв. Приказом РАО «ЕЭС России» 04.04.2005;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0"/>
                <w:lang w:val="ru-RU" w:eastAsia="ru-RU" w:bidi="ar-SA"/>
              </w:rPr>
              <w:t xml:space="preserve">4. Паспорта на резервуары хранения дизельного топлива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указанные в таблице 1 должны быть оформлены по форме согласно приложению Г ГОСТ 58404-2019 «Национальный стандарт РФ Станции и комплексы Автозаправочные. Правила технической эксплуатации», утв. Приказом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0"/>
                <w:lang w:val="ru-RU" w:eastAsia="ru-RU" w:bidi="ar-SA"/>
              </w:rPr>
              <w:t xml:space="preserve">Федерального агентства по техническому регулированию и метрологии от 25.04.2019 №167-ст;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74" w:lineRule="atLeast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5. Паспор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та на ж/д пути необщего пользования указанные в таблице 1 должны быть оформлены в соответствии с требованиями п. 1.9 «Правил эксплуатации и обслуживания железнодорожных путей необщего пользования», утв. Приказом Министерства сообщений РФ от 18.06.2003 №26;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6. Паспорт на эстакаду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слива мазута ММХ указанную в таблице 1, должен быть оформлен в соответствии с требованиями приложения С «Стандарт организации здания и сооружения ТЭС. Организация эксплуатации и технического обслуживания. Нормы и требования» (СТО 17330282.27.100-003-2008).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7. Паспорта на газопроводы, указанные в таблице 1, должны быть офор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млены должны быть оформлены в соответствии с требованиями п. 16  «Правил безопасности сетей газораспределения и газопотребления», Утвержденных приказом Федеральной службы по экологическому, технологическому и атомному надзору отот 15 декабря 2020 г. N 531.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8. Паспорта на кирпичные дымовые трубы указанные в таблице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 1 должны быть оформлены по форме согласно СП 13-101-99 "Правила надзора, обследования, проведения технического обслуживания и ремонта промышленных дымовых и вентиляционных труб" (принят и введен в действие постановлением Госстроя РФ от 14 июля 1999 г. N 2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9. При отсутствии сведений о фактических характеристиках конструктивного исполнения оборудования (толщина металла, марка металла, геометрические параметры, наличие внутреннего защитного покрытия и т.п.) нео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бходимо провести комплекс мероприятий по неразрушающему контролю с целью установления таких характеристик (проведение ультразвуковой толщинометрии, определение марки металла без образцовым методом, визуальный и измерительный контроль, оптический контроль).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auto"/>
                <w:lang w:val="ru-RU" w:eastAsia="ru-RU" w:bidi="ar-SA"/>
              </w:rPr>
            </w:r>
          </w:p>
          <w:p>
            <w:pPr>
              <w:pStyle w:val="780"/>
              <w:contextualSpacing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Разработка эксплуатационной документации: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Руководства по эксплуатации технических устройств, сооружений, указанные в таблице 1 должны быть оформлены согласно требованиям ГОСТ Р 2.601-2019 «Национальный стандарт РФ. Единая система конструкторской документации. Эксплуатационные документы» и Т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0"/>
                <w:lang w:val="ru-RU" w:eastAsia="ru-RU" w:bidi="ar-SA"/>
              </w:rPr>
              <w:t xml:space="preserve">ехнического Регламента Таможенного союза «О безопасности машин и оборудования» (ТР ТС 010/2011).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hanging="1199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Требования к оборудованию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Наличие оборудования и программ, требуемых для оказания услуг.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  <w:szCs w:val="24"/>
                <w:lang w:val="ru-RU" w:eastAsia="ru-RU" w:bidi="ar-SA"/>
              </w:rPr>
              <w:t xml:space="preserve">Требования к персоналу исполнителя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930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Безопасность оказания услуг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76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Работники, привлекаемые к оказанию данных услуг, должны быть обеспечены спецодеждой и средствами индивидуальной защиты.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При оказании услуг Исполнитель несёт ответственность за соблюдение Правил техники безопасности при эксплуатации  тепло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ru-RU" w:eastAsia="ru-RU" w:bidi="ar-SA"/>
              </w:rPr>
              <w:t xml:space="preserve">механического оборудования электростанций и тепловых сетей, утвержденных заместителем министра Министерства топлива и энергетики РФ 02.04.1997 (РД 34.03.201-97), и других требований ОТ, ТБ, ППБ, промышленной безопасности объектов и охраны окружающей среды.</w:t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0"/>
                <w:numId w:val="1"/>
              </w:numPr>
              <w:contextualSpacing/>
              <w:ind w:left="0" w:firstLine="0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результатам у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слуг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Общие требования к результатам услуг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107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both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Результат оказания услуг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1. Требования к результатам услуг.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107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color w:val="000000" w:themeColor="text1"/>
                <w:sz w:val="24"/>
                <w:szCs w:val="24"/>
                <w:highlight w:val="cyan"/>
              </w:rPr>
            </w:r>
            <w:r>
              <w:rPr>
                <w:color w:val="000000" w:themeColor="text1"/>
                <w:sz w:val="24"/>
                <w:szCs w:val="24"/>
                <w:highlight w:val="cyan"/>
              </w:rPr>
            </w:r>
            <w:r>
              <w:rPr>
                <w:color w:val="000000" w:themeColor="text1"/>
                <w:sz w:val="24"/>
                <w:szCs w:val="24"/>
                <w:highlight w:val="cyan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both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По результатам оказанных услуг Исполнитель должен представить: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Паспорта на оборудование, сооружения;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 Руководства по эксплуатации на технические устройства, сооружения.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lang w:val="ru-RU" w:eastAsia="ru-RU" w:bidi="ar-SA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  <w:lang w:val="ru-RU" w:eastAsia="ru-RU" w:bidi="ar-SA"/>
              </w:rPr>
              <w:t xml:space="preserve">- Графические материалы, чертежи, схемы оборудования с указанием основных элементов и геометрических размеров.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lang w:val="ru-RU" w:eastAsia="ru-RU" w:bidi="ar-SA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lang w:val="ru-RU" w:eastAsia="ru-RU" w:bidi="ar-SA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приёмке результата оказания у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слуг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107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Разработка технической документации</w:t>
            </w:r>
            <w:r>
              <w:rPr>
                <w:color w:val="000000" w:themeColor="text1"/>
                <w:sz w:val="24"/>
                <w:szCs w:val="24"/>
                <w:highlight w:val="cyan"/>
              </w:rPr>
            </w:r>
            <w:r>
              <w:rPr>
                <w:color w:val="000000" w:themeColor="text1"/>
                <w:sz w:val="24"/>
                <w:szCs w:val="24"/>
                <w:highlight w:val="cyan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2"/>
              </w:numPr>
              <w:ind w:left="0" w:firstLine="0"/>
              <w:jc w:val="both"/>
              <w:spacing w:before="0" w:after="0" w:line="276" w:lineRule="auto"/>
              <w:widowControl w:val="off"/>
              <w:tabs>
                <w:tab w:val="clear" w:pos="708" w:leader="none"/>
                <w:tab w:val="left" w:pos="709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предоставить на согласование Заказчику макеты чертежей и проекты разработанных паспортов и руководств по эксплуатации до печати.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tabs>
                <w:tab w:val="left" w:pos="426" w:leader="none"/>
                <w:tab w:val="clear" w:pos="708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gridSpan w:val="2"/>
            <w:tcW w:w="9154" w:type="dxa"/>
            <w:vAlign w:val="center"/>
            <w:textDirection w:val="lrTb"/>
            <w:noWrap w:val="false"/>
          </w:tcPr>
          <w:p>
            <w:pPr>
              <w:pStyle w:val="780"/>
              <w:jc w:val="left"/>
              <w:spacing w:before="60" w:after="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документации, описывающей результат оказания услуг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jc w:val="center"/>
              <w:keepNext/>
              <w:spacing w:before="60" w:after="60" w:line="240" w:lineRule="auto"/>
              <w:widowControl w:val="off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lang w:val="ru-RU" w:eastAsia="ru-RU" w:bidi="ar-SA"/>
              </w:rPr>
              <w:t xml:space="preserve">-//-</w:t>
            </w:r>
            <w:r>
              <w:rPr>
                <w:b/>
                <w:color w:val="000000" w:themeColor="text1"/>
                <w:sz w:val="24"/>
                <w:szCs w:val="24"/>
              </w:rPr>
            </w:r>
            <w:r>
              <w:rPr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107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Требования к оформлению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contextualSpacing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Исполнитель должен предоставить: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Паспорта на оборудование, сооружения, оформленные в соответствии с требованиями: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-Правил промышленной безопасности при использовании оборудования, работающего под избыточным давлением», утвержденных приказом Федеральной службы по экологическому, технологическому и атомному надзору от 15.12.2020 №536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Правил технической эксплуатации тепловых энергоустановок; Правил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val="ru-RU" w:eastAsia="ru-RU" w:bidi="ar-SA"/>
              </w:rPr>
              <w:t xml:space="preserve">безопасной эксплуатации технологических трубопроводов, утв. Приказом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Федеральной службы по экологическому, технологическому и атомному надзору от 21.12.2021 №444;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-4"/>
                <w:sz w:val="24"/>
                <w:szCs w:val="24"/>
                <w:lang w:val="ru-RU" w:eastAsia="ru-RU" w:bidi="ar-SA"/>
              </w:rPr>
              <w:t xml:space="preserve">СО 34.23.501-2005. Методические указания по эксплуатации мазутных хозяйств тепловых электростанций, утв. Приказом РАО «ЕЭС России» 04.04.2005; </w:t>
            </w:r>
            <w:r>
              <w:rPr>
                <w:color w:val="000000"/>
                <w:spacing w:val="-4"/>
                <w:sz w:val="24"/>
                <w:szCs w:val="24"/>
              </w:rPr>
            </w:r>
            <w:r>
              <w:rPr>
                <w:color w:val="000000"/>
                <w:spacing w:val="-4"/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ГОСТ 58404-2019 «Национальный стандарт РФ Станции и комплексы Автозаправочные. Правила технической эксплуатации», утв. Приказом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0"/>
                <w:lang w:val="ru-RU" w:eastAsia="ru-RU" w:bidi="ar-SA"/>
              </w:rPr>
              <w:t xml:space="preserve">Федерального агентства по техническому регулированию и метрологии от 25.04.2019 №167-ст,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Правил эксплуатации и обслуживания железнодорожных путей необщего пользования», утв. Приказом Министерства сообщений РФ от 18.06.2003 №26;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88" w:lineRule="atLeast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СТО 17330282.27.100-003-2008 «Стандарт организации здания и сооружения ТЭС.Организация эксплуатации и технического обслуживания. Нормы и требования».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contextualSpacing/>
              <w:jc w:val="both"/>
              <w:spacing w:before="0" w:after="0" w:line="240" w:lineRule="auto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Руководства по безопасной эксплуатации оформленные в соответствии с требованиями ГОСТ Р 2.601-2019 «Национальный стандарт РФ. Единая система конструкторской документации. Эксплуатационные документы».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numPr>
                <w:ilvl w:val="2"/>
                <w:numId w:val="1"/>
              </w:numPr>
              <w:contextualSpacing/>
              <w:ind w:left="1072" w:right="0" w:hanging="1072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Количество оформляемых бумажных экземпляров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Оформляется в одном экземпляре.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tcW w:w="772" w:type="dxa"/>
            <w:vAlign w:val="center"/>
            <w:textDirection w:val="lrTb"/>
            <w:noWrap w:val="false"/>
          </w:tcPr>
          <w:p>
            <w:pPr>
              <w:pStyle w:val="780"/>
              <w:jc w:val="center"/>
              <w:spacing w:before="60" w:after="60"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2.4.3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88" w:type="dxa"/>
            <w:textDirection w:val="lrTb"/>
            <w:noWrap w:val="false"/>
          </w:tcPr>
          <w:p>
            <w:pPr>
              <w:pStyle w:val="780"/>
              <w:jc w:val="left"/>
              <w:spacing w:before="0" w:after="0" w:line="240" w:lineRule="auto"/>
              <w:widowControl w:val="off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Форма преставления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6966" w:type="dxa"/>
            <w:vAlign w:val="center"/>
            <w:textDirection w:val="lrTb"/>
            <w:noWrap w:val="false"/>
          </w:tcPr>
          <w:p>
            <w:pPr>
              <w:pStyle w:val="780"/>
              <w:jc w:val="both"/>
              <w:spacing w:before="0" w:after="0" w:line="276" w:lineRule="auto"/>
              <w:widowControl w:val="off"/>
              <w:tabs>
                <w:tab w:val="left" w:pos="567" w:leader="none"/>
                <w:tab w:val="clear" w:pos="708" w:leader="none"/>
                <w:tab w:val="left" w:pos="85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  <w:lang w:val="ru-RU" w:eastAsia="ru-RU" w:bidi="ar-SA"/>
              </w:rPr>
              <w:t xml:space="preserve">На бумажно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lang w:val="ru-RU" w:eastAsia="ru-RU" w:bidi="ar-SA"/>
              </w:rPr>
              <w:t xml:space="preserve">м носителе в твердом переплёте, а также электронном виде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 по каждому объекту, 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казанному в Таблице 1 и Таблице 2 Раздела 2, настоящих ТТ, Исполнитель должен предоставить: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tabs>
                <w:tab w:val="left" w:pos="567" w:leader="none"/>
                <w:tab w:val="clear" w:pos="708" w:leader="none"/>
                <w:tab w:val="left" w:pos="85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- Паспорта;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tabs>
                <w:tab w:val="left" w:pos="567" w:leader="none"/>
                <w:tab w:val="clear" w:pos="708" w:leader="none"/>
                <w:tab w:val="left" w:pos="851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val="ru-RU" w:eastAsia="ru-RU" w:bidi="ar-SA"/>
              </w:rPr>
              <w:t xml:space="preserve">-Руководства по безопасной эксплуатации.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tabs>
                <w:tab w:val="left" w:pos="567" w:leader="none"/>
                <w:tab w:val="clear" w:pos="708" w:leader="none"/>
                <w:tab w:val="left" w:pos="851" w:leader="none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Электронные версии документов, имеющих подписи и согласования, предоставляются файлами, получаемыми путем сканирования бумажного оригинала в формате Acrobat Reader (PDF), при этом размер тома не должен превышать 50 Мб.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780"/>
              <w:jc w:val="both"/>
              <w:spacing w:before="0" w:after="0" w:line="276" w:lineRule="auto"/>
              <w:widowControl w:val="off"/>
              <w:tabs>
                <w:tab w:val="clear" w:pos="708" w:leader="none"/>
                <w:tab w:val="left" w:pos="709" w:leader="none"/>
                <w:tab w:val="left" w:pos="851" w:leader="none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ru-RU" w:bidi="ar-SA"/>
              </w:rPr>
              <w:t xml:space="preserve">Размеры, форматы и содержание текстовых документов и чертежей, выполненные в электронных форматах, должны быть идентичны бумажному оригиналу, к которому они прилагаются.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24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548" w:type="dxa"/>
            <w:textDirection w:val="lrTb"/>
            <w:noWrap w:val="false"/>
          </w:tcPr>
          <w:p>
            <w:pPr>
              <w:pStyle w:val="780"/>
              <w:numPr>
                <w:ilvl w:val="0"/>
                <w:numId w:val="0"/>
              </w:numPr>
              <w:ind w:left="0" w:firstLine="0"/>
              <w:jc w:val="left"/>
              <w:spacing w:before="60" w:after="60" w:line="240" w:lineRule="auto"/>
              <w:widowControl w:val="off"/>
              <w:rPr>
                <w:rFonts w:eastAsia="Calibri"/>
                <w:b/>
                <w:color w:val="000000" w:themeColor="text1"/>
                <w:sz w:val="24"/>
                <w:szCs w:val="24"/>
              </w:rPr>
              <w:outlineLvl w:val="2"/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851" w:right="567" w:bottom="851" w:left="992" w:header="68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781"/>
        <w:numPr>
          <w:ilvl w:val="0"/>
          <w:numId w:val="3"/>
        </w:numPr>
        <w:ind w:left="425" w:hanging="425"/>
        <w:jc w:val="center"/>
        <w:rPr>
          <w:color w:val="000000" w:themeColor="text1"/>
        </w:rPr>
      </w:pPr>
      <w:r/>
      <w:bookmarkStart w:id="13" w:name="_Toc14"/>
      <w:r>
        <w:rPr>
          <w:color w:val="000000" w:themeColor="text1"/>
          <w:lang w:eastAsia="ru-RU"/>
        </w:rPr>
        <w:t xml:space="preserve">Требования к документации по ценообразованию на этапе закупки</w:t>
      </w:r>
      <w:bookmarkEnd w:id="13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3.1. В обоснование стоимости заявки Участник должен предоставить «Коммерческое предложение» по форме, приведённый в Документации о закупке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3.2. В составе предложения участник не предоставляет сметную документацию.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781"/>
        <w:numPr>
          <w:ilvl w:val="0"/>
          <w:numId w:val="3"/>
        </w:numPr>
        <w:ind w:left="709" w:hanging="283"/>
        <w:jc w:val="center"/>
        <w:rPr>
          <w:color w:val="000000" w:themeColor="text1"/>
        </w:rPr>
      </w:pPr>
      <w:r/>
      <w:bookmarkStart w:id="14" w:name="_Toc15"/>
      <w:r>
        <w:t xml:space="preserve">Требования к документации по ценообразованию на этапе заключения (исполнения) договора</w:t>
      </w:r>
      <w:bookmarkEnd w:id="14"/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4.1. Разработка сметной документации осуществляется при заключении и исполнении договора в соответствии со следующими требованиями: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стадии заключения Договора подрядчик предоставляет смету, составленную на основании следующих справочников: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Справочники Базовых цен на работы по ремонту энергетического оборудования (с индексом перевода в текущие цены к=4,2);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Прейскуранты на экспериментально-наладочные работы ОРГРЭС (с индексом перевода в текущие цены с учетом деноминации 1997 года к=0,158);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Справочники по обследованию и оценке технического состояния ЗиС (с индексами перевода к справочникам уровня 1995 года к=53,48, к уровню цен 2001 года к=6,99).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При отсутствии расценок в вышеуказанных справочниках допустимо составление сметного расчета по форме 3П с ценой, соответствующей итоговой сумме заявки.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Составление сметного расчета по форме 3П (по трудозатратам) на стадии заключения договора участник, признанный победителем по результатам конкурентной процедуры, обязан предоставить справку, заверенную рук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оводителем организации и главным бухгалтером, подтверждающую заработную плату непосредственных исполнителей работ (час или день в соответствии с единицей измерения учтенного в расчете), накладные расходы (в процентах) и размер рентабельности (в процентах).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Командировочные расходы в случае их учета в сметах определяются по предварительному расчету с расшифровкой затрат на проезд, проживание,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суточные расходы (не более 700 руб./сут.). Заказчик имеет право в период действия договора запросить у Подрядчика копии первичных документов, платёжных поручений, реестры и т.д. для проверки соответствия суммы командировочных расходов фактическим затратам.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1"/>
        <w:numPr>
          <w:ilvl w:val="0"/>
          <w:numId w:val="3"/>
        </w:numPr>
        <w:ind w:left="357" w:hanging="357"/>
        <w:jc w:val="center"/>
        <w:keepLines/>
        <w:rPr>
          <w:iCs/>
          <w:caps/>
        </w:rPr>
      </w:pPr>
      <w:r/>
      <w:bookmarkStart w:id="15" w:name="_Toc16"/>
      <w:r>
        <w:rPr>
          <w:iCs/>
        </w:rPr>
        <w:t xml:space="preserve">Приложения</w:t>
      </w:r>
      <w:bookmarkEnd w:id="15"/>
      <w:r>
        <w:rPr>
          <w:iCs/>
          <w:caps/>
        </w:rPr>
      </w:r>
      <w:r>
        <w:rPr>
          <w:iCs/>
          <w:caps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p>
      <w:pPr>
        <w:pStyle w:val="780"/>
        <w:ind w:firstLine="709"/>
        <w:jc w:val="both"/>
        <w:spacing w:before="0" w:after="0" w:line="240" w:lineRule="auto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№1: Требования к участнику закупки.</w:t>
      </w:r>
      <w:r>
        <w:rPr>
          <w:rFonts w:ascii="Times New Roman" w:hAnsi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  <w:lang w:eastAsia="ru-RU"/>
        </w:rPr>
      </w:r>
    </w:p>
    <w:sectPr>
      <w:headerReference w:type="default" r:id="rId14"/>
      <w:headerReference w:type="first" r:id="rId15"/>
      <w:footnotePr/>
      <w:endnotePr/>
      <w:type w:val="nextPage"/>
      <w:pgSz w:w="11906" w:h="16838" w:orient="portrait"/>
      <w:pgMar w:top="1134" w:right="851" w:bottom="992" w:left="1134" w:header="680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Segoe UI">
    <w:panose1 w:val="020B050302020402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  <w:rPr>
        <w:rFonts w:ascii="Times New Roman" w:hAnsi="Times New Roman" w:cs="Times New Roman"/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17</w:t>
    </w:r>
    <w:r>
      <w:fldChar w:fldCharType="end"/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863"/>
                            <w:rPr>
                              <w:rStyle w:val="829"/>
                            </w:rPr>
                          </w:pPr>
                          <w:r>
                            <w:rPr>
                              <w:rStyle w:val="82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82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82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829"/>
                              <w:color w:val="000000"/>
                            </w:rPr>
                            <w:t xml:space="preserve">0</w:t>
                          </w:r>
                          <w:r>
                            <w:rPr>
                              <w:rStyle w:val="829"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rStyle w:val="829"/>
                            </w:rPr>
                          </w:r>
                          <w:r>
                            <w:rPr>
                              <w:rStyle w:val="829"/>
                            </w:rPr>
                          </w:r>
                        </w:p>
                      </w:txbxContent>
                    </wps:txbx>
                    <wps:bodyPr lIns="36000" tIns="36000" rIns="36000" bIns="360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1" type="#_x0000_t1" style="position:absolute;z-index:-2;o:allowoverlap:true;o:allowincell:false;mso-position-horizontal-relative:margin;mso-position-horizontal:center;mso-position-vertical-relative:text;margin-top:0.05pt;mso-position-vertical:absolute;width:1.15pt;height:1.15pt;mso-wrap-distance-left:0.00pt;mso-wrap-distance-top:0.00pt;mso-wrap-distance-right:0.00pt;mso-wrap-distance-bottom:0.00pt;v-text-anchor:top;visibility:visible;" filled="f" stroked="f" strokeweight="0.00pt">
              <w10:wrap type="square"/>
              <v:textbox inset="0,0,0,0">
                <w:txbxContent>
                  <w:p>
                    <w:pPr>
                      <w:pStyle w:val="863"/>
                      <w:rPr>
                        <w:rStyle w:val="829"/>
                      </w:rPr>
                    </w:pPr>
                    <w:r>
                      <w:rPr>
                        <w:rStyle w:val="829"/>
                        <w:color w:val="000000"/>
                      </w:rPr>
                      <w:fldChar w:fldCharType="begin"/>
                    </w:r>
                    <w:r>
                      <w:rPr>
                        <w:rStyle w:val="82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829"/>
                        <w:color w:val="000000"/>
                      </w:rPr>
                      <w:fldChar w:fldCharType="separate"/>
                    </w:r>
                    <w:r>
                      <w:rPr>
                        <w:rStyle w:val="829"/>
                        <w:color w:val="000000"/>
                      </w:rPr>
                      <w:t xml:space="preserve">0</w:t>
                    </w:r>
                    <w:r>
                      <w:rPr>
                        <w:rStyle w:val="829"/>
                        <w:color w:val="000000"/>
                      </w:rPr>
                      <w:fldChar w:fldCharType="end"/>
                    </w:r>
                    <w:r>
                      <w:rPr>
                        <w:rStyle w:val="829"/>
                      </w:rPr>
                    </w:r>
                    <w:r>
                      <w:rPr>
                        <w:rStyle w:val="829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  <w:rPr>
        <w:rFonts w:ascii="Times New Roman" w:hAnsi="Times New Roman" w:cs="Times New Roman"/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26</w:t>
    </w:r>
    <w:r>
      <w:fldChar w:fldCharType="end"/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  <w:rPr>
        <w:rFonts w:ascii="Times New Roman" w:hAnsi="Times New Roman" w:cs="Times New Roman"/>
        <w:sz w:val="24"/>
        <w:szCs w:val="24"/>
      </w:rPr>
    </w:pP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rPr>
        <w:rFonts w:ascii="Times New Roman" w:hAnsi="Times New Roman" w:cs="Times New Roman"/>
        <w:sz w:val="24"/>
        <w:szCs w:val="24"/>
      </w:rPr>
    </w:r>
    <w:r>
      <w:rPr>
        <w:rFonts w:ascii="Times New Roman" w:hAnsi="Times New Roman" w:cs="Times New Roman"/>
        <w:sz w:val="24"/>
        <w:szCs w:val="24"/>
      </w:rPr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86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6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6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6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6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6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 w:val="0"/>
        <w:i w:val="0"/>
        <w:iCs w:val="0"/>
        <w:sz w:val="24"/>
        <w:szCs w:val="24"/>
      </w:rPr>
    </w:lvl>
    <w:lvl w:ilvl="2">
      <w:start w:val="1"/>
      <w:numFmt w:val="decimal"/>
      <w:pStyle w:val="783"/>
      <w:isLgl w:val="false"/>
      <w:suff w:val="tab"/>
      <w:lvlText w:val="%1.%2.%3."/>
      <w:lvlJc w:val="left"/>
      <w:pPr>
        <w:ind w:left="86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90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94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598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02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06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82" w:hanging="144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79">
    <w:name w:val="Caption Char"/>
    <w:basedOn w:val="790"/>
    <w:link w:val="840"/>
    <w:uiPriority w:val="35"/>
    <w:rPr>
      <w:b/>
      <w:bCs/>
      <w:color w:val="4f81bd" w:themeColor="accent1"/>
      <w:sz w:val="18"/>
      <w:szCs w:val="18"/>
    </w:rPr>
  </w:style>
  <w:style w:type="paragraph" w:styleId="780" w:default="1">
    <w:name w:val="Normal"/>
    <w:qFormat/>
    <w:pPr>
      <w:jc w:val="left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1">
    <w:name w:val="Heading 1"/>
    <w:basedOn w:val="783"/>
    <w:next w:val="780"/>
    <w:link w:val="826"/>
    <w:qFormat/>
    <w:pPr>
      <w:numPr>
        <w:ilvl w:val="0"/>
      </w:numPr>
      <w:ind w:left="3900" w:firstLine="0"/>
      <w:outlineLvl w:val="0"/>
    </w:pPr>
    <w:rPr>
      <w:sz w:val="28"/>
      <w:szCs w:val="28"/>
    </w:rPr>
  </w:style>
  <w:style w:type="paragraph" w:styleId="782">
    <w:name w:val="Heading 2"/>
    <w:basedOn w:val="780"/>
    <w:next w:val="780"/>
    <w:link w:val="8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next w:val="780"/>
    <w:link w:val="825"/>
    <w:qFormat/>
    <w:pPr>
      <w:numPr>
        <w:ilvl w:val="2"/>
        <w:numId w:val="3"/>
      </w:numPr>
      <w:ind w:left="0" w:firstLine="709"/>
      <w:jc w:val="both"/>
      <w:keepNext/>
      <w:spacing w:before="120" w:after="60" w:line="240" w:lineRule="auto"/>
      <w:outlineLvl w:val="2"/>
    </w:pPr>
    <w:rPr>
      <w:rFonts w:ascii="Times New Roman" w:hAnsi="Times New Roman" w:eastAsia="Calibri" w:cs="Times New Roman"/>
      <w:b/>
      <w:sz w:val="24"/>
      <w:szCs w:val="24"/>
    </w:rPr>
  </w:style>
  <w:style w:type="paragraph" w:styleId="784">
    <w:name w:val="Heading 4"/>
    <w:basedOn w:val="783"/>
    <w:next w:val="780"/>
    <w:link w:val="827"/>
    <w:qFormat/>
    <w:pPr>
      <w:numPr>
        <w:ilvl w:val="1"/>
      </w:numPr>
      <w:outlineLvl w:val="3"/>
    </w:pPr>
    <w:rPr>
      <w:bCs/>
    </w:rPr>
  </w:style>
  <w:style w:type="paragraph" w:styleId="785">
    <w:name w:val="Heading 5"/>
    <w:basedOn w:val="780"/>
    <w:next w:val="780"/>
    <w:link w:val="8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next w:val="780"/>
    <w:link w:val="8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87">
    <w:name w:val="Heading 7"/>
    <w:basedOn w:val="780"/>
    <w:next w:val="780"/>
    <w:link w:val="8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88">
    <w:name w:val="Heading 8"/>
    <w:basedOn w:val="780"/>
    <w:next w:val="780"/>
    <w:link w:val="8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89">
    <w:name w:val="Heading 9"/>
    <w:basedOn w:val="780"/>
    <w:next w:val="780"/>
    <w:link w:val="8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 w:default="1">
    <w:name w:val="Default Paragraph Font"/>
    <w:uiPriority w:val="1"/>
    <w:semiHidden/>
    <w:unhideWhenUsed/>
    <w:qFormat/>
  </w:style>
  <w:style w:type="character" w:styleId="791" w:customStyle="1">
    <w:name w:val="Heading 2 Char"/>
    <w:basedOn w:val="790"/>
    <w:uiPriority w:val="9"/>
    <w:qFormat/>
    <w:rPr>
      <w:rFonts w:ascii="Arial" w:hAnsi="Arial" w:eastAsia="Arial" w:cs="Arial"/>
      <w:sz w:val="34"/>
    </w:rPr>
  </w:style>
  <w:style w:type="character" w:styleId="792" w:customStyle="1">
    <w:name w:val="Heading 5 Char"/>
    <w:basedOn w:val="79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3" w:customStyle="1">
    <w:name w:val="Heading 6 Char"/>
    <w:basedOn w:val="79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4" w:customStyle="1">
    <w:name w:val="Heading 7 Char"/>
    <w:basedOn w:val="79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95" w:customStyle="1">
    <w:name w:val="Heading 8 Char"/>
    <w:basedOn w:val="79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96" w:customStyle="1">
    <w:name w:val="Heading 9 Char"/>
    <w:basedOn w:val="79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97" w:customStyle="1">
    <w:name w:val="Title Char"/>
    <w:basedOn w:val="790"/>
    <w:uiPriority w:val="10"/>
    <w:qFormat/>
    <w:rPr>
      <w:sz w:val="48"/>
      <w:szCs w:val="48"/>
    </w:rPr>
  </w:style>
  <w:style w:type="character" w:styleId="798" w:customStyle="1">
    <w:name w:val="Subtitle Char"/>
    <w:basedOn w:val="790"/>
    <w:uiPriority w:val="11"/>
    <w:qFormat/>
    <w:rPr>
      <w:sz w:val="24"/>
      <w:szCs w:val="24"/>
    </w:rPr>
  </w:style>
  <w:style w:type="character" w:styleId="799" w:customStyle="1">
    <w:name w:val="Quote Char"/>
    <w:uiPriority w:val="29"/>
    <w:qFormat/>
    <w:rPr>
      <w:i/>
    </w:rPr>
  </w:style>
  <w:style w:type="character" w:styleId="800" w:customStyle="1">
    <w:name w:val="Intense Quote Char"/>
    <w:uiPriority w:val="30"/>
    <w:qFormat/>
    <w:rPr>
      <w:i/>
    </w:rPr>
  </w:style>
  <w:style w:type="character" w:styleId="801" w:customStyle="1">
    <w:name w:val="Footnote Text Char"/>
    <w:uiPriority w:val="99"/>
    <w:qFormat/>
    <w:rPr>
      <w:sz w:val="18"/>
    </w:rPr>
  </w:style>
  <w:style w:type="character" w:styleId="802" w:customStyle="1">
    <w:name w:val="Endnote Text Char"/>
    <w:uiPriority w:val="99"/>
    <w:qFormat/>
    <w:rPr>
      <w:sz w:val="20"/>
    </w:rPr>
  </w:style>
  <w:style w:type="character" w:styleId="803" w:customStyle="1">
    <w:name w:val="Heading 1 Char"/>
    <w:basedOn w:val="790"/>
    <w:uiPriority w:val="9"/>
    <w:qFormat/>
    <w:rPr>
      <w:rFonts w:ascii="Arial" w:hAnsi="Arial" w:eastAsia="Arial" w:cs="Arial"/>
      <w:sz w:val="40"/>
      <w:szCs w:val="40"/>
    </w:rPr>
  </w:style>
  <w:style w:type="character" w:styleId="804" w:customStyle="1">
    <w:name w:val="Заголовок 2 Знак"/>
    <w:basedOn w:val="790"/>
    <w:uiPriority w:val="9"/>
    <w:qFormat/>
    <w:rPr>
      <w:rFonts w:ascii="Arial" w:hAnsi="Arial" w:eastAsia="Arial" w:cs="Arial"/>
      <w:sz w:val="34"/>
    </w:rPr>
  </w:style>
  <w:style w:type="character" w:styleId="805" w:customStyle="1">
    <w:name w:val="Heading 3 Char"/>
    <w:basedOn w:val="790"/>
    <w:uiPriority w:val="9"/>
    <w:qFormat/>
    <w:rPr>
      <w:rFonts w:ascii="Arial" w:hAnsi="Arial" w:eastAsia="Arial" w:cs="Arial"/>
      <w:sz w:val="30"/>
      <w:szCs w:val="30"/>
    </w:rPr>
  </w:style>
  <w:style w:type="character" w:styleId="806" w:customStyle="1">
    <w:name w:val="Heading 4 Char"/>
    <w:basedOn w:val="79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807" w:customStyle="1">
    <w:name w:val="Заголовок 5 Знак"/>
    <w:basedOn w:val="790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808" w:customStyle="1">
    <w:name w:val="Заголовок 6 Знак"/>
    <w:basedOn w:val="79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809" w:customStyle="1">
    <w:name w:val="Заголовок 7 Знак"/>
    <w:basedOn w:val="790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10" w:customStyle="1">
    <w:name w:val="Заголовок 8 Знак"/>
    <w:basedOn w:val="790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11" w:customStyle="1">
    <w:name w:val="Заголовок 9 Знак"/>
    <w:basedOn w:val="79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12" w:customStyle="1">
    <w:name w:val="Заголовок Знак"/>
    <w:basedOn w:val="790"/>
    <w:uiPriority w:val="10"/>
    <w:qFormat/>
    <w:rPr>
      <w:sz w:val="48"/>
      <w:szCs w:val="48"/>
    </w:rPr>
  </w:style>
  <w:style w:type="character" w:styleId="813" w:customStyle="1">
    <w:name w:val="Подзаголовок Знак"/>
    <w:basedOn w:val="790"/>
    <w:uiPriority w:val="11"/>
    <w:qFormat/>
    <w:rPr>
      <w:sz w:val="24"/>
      <w:szCs w:val="24"/>
    </w:rPr>
  </w:style>
  <w:style w:type="character" w:styleId="814" w:customStyle="1">
    <w:name w:val="Цитата 2 Знак"/>
    <w:link w:val="845"/>
    <w:uiPriority w:val="29"/>
    <w:qFormat/>
    <w:rPr>
      <w:i/>
    </w:rPr>
  </w:style>
  <w:style w:type="character" w:styleId="815" w:customStyle="1">
    <w:name w:val="Выделенная цитата Знак"/>
    <w:link w:val="846"/>
    <w:uiPriority w:val="30"/>
    <w:qFormat/>
    <w:rPr>
      <w:i/>
    </w:rPr>
  </w:style>
  <w:style w:type="character" w:styleId="816" w:customStyle="1">
    <w:name w:val="Header Char"/>
    <w:basedOn w:val="790"/>
    <w:uiPriority w:val="99"/>
    <w:qFormat/>
  </w:style>
  <w:style w:type="character" w:styleId="817" w:customStyle="1">
    <w:name w:val="Footer Char"/>
    <w:basedOn w:val="790"/>
    <w:uiPriority w:val="99"/>
    <w:qFormat/>
  </w:style>
  <w:style w:type="character" w:styleId="818" w:customStyle="1">
    <w:name w:val="Название объекта Знак"/>
    <w:link w:val="847"/>
    <w:uiPriority w:val="99"/>
    <w:qFormat/>
  </w:style>
  <w:style w:type="character" w:styleId="819" w:customStyle="1">
    <w:name w:val="Текст сноски Знак"/>
    <w:uiPriority w:val="99"/>
    <w:qFormat/>
    <w:rPr>
      <w:sz w:val="18"/>
    </w:rPr>
  </w:style>
  <w:style w:type="character" w:styleId="820">
    <w:name w:val="Символ сноски"/>
    <w:uiPriority w:val="99"/>
    <w:unhideWhenUsed/>
    <w:qFormat/>
    <w:rPr>
      <w:vertAlign w:val="superscript"/>
    </w:rPr>
  </w:style>
  <w:style w:type="character" w:styleId="821">
    <w:name w:val="footnote reference"/>
    <w:rPr>
      <w:vertAlign w:val="superscript"/>
    </w:rPr>
  </w:style>
  <w:style w:type="character" w:styleId="822" w:customStyle="1">
    <w:name w:val="Текст концевой сноски Знак"/>
    <w:uiPriority w:val="99"/>
    <w:qFormat/>
    <w:rPr>
      <w:sz w:val="20"/>
    </w:rPr>
  </w:style>
  <w:style w:type="character" w:styleId="82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24">
    <w:name w:val="endnote reference"/>
    <w:rPr>
      <w:vertAlign w:val="superscript"/>
    </w:rPr>
  </w:style>
  <w:style w:type="character" w:styleId="825" w:customStyle="1">
    <w:name w:val="Заголовок 3 Знак"/>
    <w:basedOn w:val="790"/>
    <w:qFormat/>
    <w:rPr>
      <w:rFonts w:ascii="Times New Roman" w:hAnsi="Times New Roman" w:eastAsia="Calibri" w:cs="Times New Roman"/>
      <w:b/>
      <w:sz w:val="24"/>
      <w:szCs w:val="24"/>
    </w:rPr>
  </w:style>
  <w:style w:type="character" w:styleId="826" w:customStyle="1">
    <w:name w:val="Заголовок 1 Знак"/>
    <w:basedOn w:val="790"/>
    <w:qFormat/>
    <w:rPr>
      <w:rFonts w:ascii="Times New Roman" w:hAnsi="Times New Roman" w:eastAsia="Calibri" w:cs="Times New Roman"/>
      <w:b/>
      <w:sz w:val="28"/>
      <w:szCs w:val="28"/>
    </w:rPr>
  </w:style>
  <w:style w:type="character" w:styleId="827" w:customStyle="1">
    <w:name w:val="Заголовок 4 Знак"/>
    <w:basedOn w:val="790"/>
    <w:qFormat/>
    <w:rPr>
      <w:rFonts w:ascii="Times New Roman" w:hAnsi="Times New Roman" w:eastAsia="Calibri" w:cs="Times New Roman"/>
      <w:b/>
      <w:bCs/>
      <w:sz w:val="24"/>
      <w:szCs w:val="24"/>
    </w:rPr>
  </w:style>
  <w:style w:type="character" w:styleId="828" w:customStyle="1">
    <w:name w:val="Верхний колонтитул Знак"/>
    <w:basedOn w:val="790"/>
    <w:uiPriority w:val="99"/>
    <w:semiHidden/>
    <w:qFormat/>
  </w:style>
  <w:style w:type="character" w:styleId="829">
    <w:name w:val="page number"/>
    <w:basedOn w:val="790"/>
    <w:qFormat/>
  </w:style>
  <w:style w:type="character" w:styleId="830">
    <w:name w:val="annotation reference"/>
    <w:basedOn w:val="790"/>
    <w:uiPriority w:val="99"/>
    <w:semiHidden/>
    <w:unhideWhenUsed/>
    <w:qFormat/>
    <w:rPr>
      <w:sz w:val="16"/>
      <w:szCs w:val="16"/>
    </w:rPr>
  </w:style>
  <w:style w:type="character" w:styleId="831" w:customStyle="1">
    <w:name w:val="Текст примечания Знак"/>
    <w:basedOn w:val="790"/>
    <w:link w:val="864"/>
    <w:uiPriority w:val="99"/>
    <w:semiHidden/>
    <w:qFormat/>
    <w:rPr>
      <w:sz w:val="20"/>
      <w:szCs w:val="20"/>
    </w:rPr>
  </w:style>
  <w:style w:type="character" w:styleId="832" w:customStyle="1">
    <w:name w:val="Тема примечания Знак"/>
    <w:basedOn w:val="831"/>
    <w:link w:val="865"/>
    <w:uiPriority w:val="99"/>
    <w:semiHidden/>
    <w:qFormat/>
    <w:rPr>
      <w:b/>
      <w:bCs/>
      <w:sz w:val="20"/>
      <w:szCs w:val="20"/>
    </w:rPr>
  </w:style>
  <w:style w:type="character" w:styleId="833" w:customStyle="1">
    <w:name w:val="Текст выноски Знак"/>
    <w:basedOn w:val="790"/>
    <w:link w:val="866"/>
    <w:uiPriority w:val="99"/>
    <w:semiHidden/>
    <w:qFormat/>
    <w:rPr>
      <w:rFonts w:ascii="Segoe UI" w:hAnsi="Segoe UI" w:cs="Segoe UI"/>
      <w:sz w:val="18"/>
      <w:szCs w:val="18"/>
    </w:rPr>
  </w:style>
  <w:style w:type="character" w:styleId="834">
    <w:name w:val="Hyperlink"/>
    <w:basedOn w:val="790"/>
    <w:uiPriority w:val="99"/>
    <w:unhideWhenUsed/>
    <w:rPr>
      <w:color w:val="0563c1" w:themeColor="hyperlink"/>
      <w:u w:val="single"/>
    </w:rPr>
  </w:style>
  <w:style w:type="character" w:styleId="835" w:customStyle="1">
    <w:name w:val="Нижний колонтитул Знак"/>
    <w:basedOn w:val="790"/>
    <w:uiPriority w:val="99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36">
    <w:name w:val="Ссылка указателя"/>
    <w:qFormat/>
  </w:style>
  <w:style w:type="paragraph" w:styleId="837">
    <w:name w:val="Заголовок"/>
    <w:basedOn w:val="780"/>
    <w:next w:val="838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838">
    <w:name w:val="Body Text"/>
    <w:basedOn w:val="780"/>
    <w:pPr>
      <w:spacing w:before="0" w:after="140" w:line="276" w:lineRule="auto"/>
    </w:pPr>
  </w:style>
  <w:style w:type="paragraph" w:styleId="839">
    <w:name w:val="List"/>
    <w:basedOn w:val="838"/>
    <w:rPr>
      <w:rFonts w:cs="Arial Unicode MS"/>
    </w:rPr>
  </w:style>
  <w:style w:type="paragraph" w:styleId="840">
    <w:name w:val="Caption"/>
    <w:basedOn w:val="780"/>
    <w:link w:val="779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841">
    <w:name w:val="Указатель"/>
    <w:basedOn w:val="780"/>
    <w:qFormat/>
    <w:pPr>
      <w:suppressLineNumbers/>
    </w:pPr>
    <w:rPr>
      <w:rFonts w:cs="Arial Unicode MS"/>
    </w:rPr>
  </w:style>
  <w:style w:type="paragraph" w:styleId="842">
    <w:name w:val="No Spacing"/>
    <w:uiPriority w:val="1"/>
    <w:qFormat/>
    <w:pPr>
      <w:jc w:val="left"/>
      <w:spacing w:before="0" w:after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3">
    <w:name w:val="Title"/>
    <w:basedOn w:val="780"/>
    <w:next w:val="780"/>
    <w:link w:val="812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44">
    <w:name w:val="Subtitle"/>
    <w:basedOn w:val="780"/>
    <w:next w:val="780"/>
    <w:link w:val="813"/>
    <w:uiPriority w:val="11"/>
    <w:qFormat/>
    <w:pPr>
      <w:spacing w:before="200" w:after="200"/>
    </w:pPr>
    <w:rPr>
      <w:sz w:val="24"/>
      <w:szCs w:val="24"/>
    </w:rPr>
  </w:style>
  <w:style w:type="paragraph" w:styleId="845">
    <w:name w:val="Quote"/>
    <w:basedOn w:val="780"/>
    <w:next w:val="780"/>
    <w:link w:val="814"/>
    <w:uiPriority w:val="29"/>
    <w:qFormat/>
    <w:pPr>
      <w:ind w:left="720" w:right="720" w:firstLine="0"/>
    </w:pPr>
    <w:rPr>
      <w:i/>
    </w:rPr>
  </w:style>
  <w:style w:type="paragraph" w:styleId="846">
    <w:name w:val="Intense Quote"/>
    <w:basedOn w:val="780"/>
    <w:next w:val="780"/>
    <w:link w:val="815"/>
    <w:uiPriority w:val="30"/>
    <w:qFormat/>
    <w:pPr>
      <w:ind w:left="720" w:right="720" w:firstLine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7">
    <w:name w:val="caption1"/>
    <w:basedOn w:val="780"/>
    <w:next w:val="780"/>
    <w:link w:val="81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848">
    <w:name w:val="footnote text"/>
    <w:basedOn w:val="780"/>
    <w:link w:val="81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49">
    <w:name w:val="endnote text"/>
    <w:basedOn w:val="780"/>
    <w:link w:val="822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50">
    <w:name w:val="toc 1"/>
    <w:basedOn w:val="780"/>
    <w:next w:val="780"/>
    <w:uiPriority w:val="39"/>
    <w:unhideWhenUsed/>
    <w:pPr>
      <w:spacing w:before="0" w:after="57"/>
    </w:pPr>
  </w:style>
  <w:style w:type="paragraph" w:styleId="851">
    <w:name w:val="toc 2"/>
    <w:basedOn w:val="780"/>
    <w:next w:val="780"/>
    <w:uiPriority w:val="39"/>
    <w:unhideWhenUsed/>
    <w:pPr>
      <w:ind w:left="283" w:firstLine="0"/>
      <w:spacing w:before="0" w:after="57"/>
    </w:pPr>
  </w:style>
  <w:style w:type="paragraph" w:styleId="852">
    <w:name w:val="toc 3"/>
    <w:basedOn w:val="780"/>
    <w:next w:val="780"/>
    <w:uiPriority w:val="39"/>
    <w:unhideWhenUsed/>
    <w:pPr>
      <w:ind w:left="567" w:firstLine="0"/>
      <w:spacing w:before="0" w:after="57"/>
    </w:pPr>
  </w:style>
  <w:style w:type="paragraph" w:styleId="853">
    <w:name w:val="toc 4"/>
    <w:basedOn w:val="780"/>
    <w:next w:val="780"/>
    <w:uiPriority w:val="39"/>
    <w:unhideWhenUsed/>
    <w:pPr>
      <w:ind w:left="850" w:firstLine="0"/>
      <w:spacing w:before="0" w:after="57"/>
    </w:pPr>
  </w:style>
  <w:style w:type="paragraph" w:styleId="854">
    <w:name w:val="toc 5"/>
    <w:basedOn w:val="780"/>
    <w:next w:val="780"/>
    <w:uiPriority w:val="39"/>
    <w:unhideWhenUsed/>
    <w:pPr>
      <w:ind w:left="1134" w:firstLine="0"/>
      <w:spacing w:before="0" w:after="57"/>
    </w:pPr>
  </w:style>
  <w:style w:type="paragraph" w:styleId="855">
    <w:name w:val="toc 6"/>
    <w:basedOn w:val="780"/>
    <w:next w:val="780"/>
    <w:uiPriority w:val="39"/>
    <w:unhideWhenUsed/>
    <w:pPr>
      <w:ind w:left="1417" w:firstLine="0"/>
      <w:spacing w:before="0" w:after="57"/>
    </w:pPr>
  </w:style>
  <w:style w:type="paragraph" w:styleId="856">
    <w:name w:val="toc 7"/>
    <w:basedOn w:val="780"/>
    <w:next w:val="780"/>
    <w:uiPriority w:val="39"/>
    <w:unhideWhenUsed/>
    <w:pPr>
      <w:ind w:left="1701" w:firstLine="0"/>
      <w:spacing w:before="0" w:after="57"/>
    </w:pPr>
  </w:style>
  <w:style w:type="paragraph" w:styleId="857">
    <w:name w:val="toc 8"/>
    <w:basedOn w:val="780"/>
    <w:next w:val="780"/>
    <w:uiPriority w:val="39"/>
    <w:unhideWhenUsed/>
    <w:pPr>
      <w:ind w:left="1984" w:firstLine="0"/>
      <w:spacing w:before="0" w:after="57"/>
    </w:pPr>
  </w:style>
  <w:style w:type="paragraph" w:styleId="858">
    <w:name w:val="toc 9"/>
    <w:basedOn w:val="780"/>
    <w:next w:val="780"/>
    <w:uiPriority w:val="39"/>
    <w:unhideWhenUsed/>
    <w:pPr>
      <w:ind w:left="2268" w:firstLine="0"/>
      <w:spacing w:before="0" w:after="57"/>
    </w:pPr>
  </w:style>
  <w:style w:type="paragraph" w:styleId="859">
    <w:name w:val="Index Heading"/>
    <w:basedOn w:val="837"/>
  </w:style>
  <w:style w:type="paragraph" w:styleId="860">
    <w:name w:val="TOC Heading"/>
    <w:uiPriority w:val="39"/>
    <w:unhideWhenUsed/>
    <w:qFormat/>
    <w:pPr>
      <w:jc w:val="left"/>
      <w:spacing w:before="0" w:after="160" w:line="259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61">
    <w:name w:val="table of figures"/>
    <w:basedOn w:val="780"/>
    <w:next w:val="780"/>
    <w:uiPriority w:val="99"/>
    <w:unhideWhenUsed/>
    <w:qFormat/>
    <w:pPr>
      <w:spacing w:before="0" w:after="0"/>
    </w:pPr>
  </w:style>
  <w:style w:type="paragraph" w:styleId="862">
    <w:name w:val="Колонтитул"/>
    <w:basedOn w:val="780"/>
    <w:qFormat/>
  </w:style>
  <w:style w:type="paragraph" w:styleId="863">
    <w:name w:val="Header"/>
    <w:basedOn w:val="780"/>
    <w:link w:val="828"/>
    <w:uiPriority w:val="99"/>
    <w:semiHidden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64">
    <w:name w:val="annotation text"/>
    <w:basedOn w:val="780"/>
    <w:link w:val="831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65">
    <w:name w:val="annotation subject"/>
    <w:basedOn w:val="864"/>
    <w:next w:val="864"/>
    <w:link w:val="832"/>
    <w:uiPriority w:val="99"/>
    <w:semiHidden/>
    <w:unhideWhenUsed/>
    <w:qFormat/>
    <w:rPr>
      <w:b/>
      <w:bCs/>
    </w:rPr>
  </w:style>
  <w:style w:type="paragraph" w:styleId="866">
    <w:name w:val="Balloon Text"/>
    <w:basedOn w:val="780"/>
    <w:link w:val="833"/>
    <w:uiPriority w:val="99"/>
    <w:semiHidden/>
    <w:unhideWhenUsed/>
    <w:qFormat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867">
    <w:name w:val="Revision"/>
    <w:uiPriority w:val="99"/>
    <w:semiHidden/>
    <w:qFormat/>
    <w:pPr>
      <w:jc w:val="left"/>
      <w:spacing w:before="0" w:after="0" w:line="240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68">
    <w:name w:val="Footer"/>
    <w:basedOn w:val="780"/>
    <w:link w:val="835"/>
    <w:uiPriority w:val="99"/>
    <w:unhideWhenUsed/>
    <w:pPr>
      <w:ind w:firstLine="567"/>
      <w:jc w:val="both"/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69">
    <w:name w:val="List Paragraph"/>
    <w:basedOn w:val="780"/>
    <w:uiPriority w:val="34"/>
    <w:qFormat/>
    <w:pPr>
      <w:contextualSpacing/>
      <w:ind w:left="720" w:firstLine="0"/>
      <w:spacing w:before="0" w:after="160"/>
    </w:pPr>
  </w:style>
  <w:style w:type="paragraph" w:styleId="870" w:customStyle="1">
    <w:name w:val="ConsPlusNormal"/>
    <w:qFormat/>
    <w:pPr>
      <w:jc w:val="left"/>
      <w:spacing w:before="0" w:after="0" w:line="240" w:lineRule="auto"/>
      <w:widowControl w:val="off"/>
    </w:pPr>
    <w:rPr>
      <w:rFonts w:ascii="Arial" w:hAnsi="Arial" w:eastAsia="Arial" w:cs="Arial" w:eastAsiaTheme="minorEastAsia"/>
      <w:color w:val="auto"/>
      <w:sz w:val="20"/>
      <w:szCs w:val="20"/>
      <w:lang w:val="ru-RU" w:eastAsia="ru-RU" w:bidi="ar-SA"/>
    </w:rPr>
  </w:style>
  <w:style w:type="paragraph" w:styleId="871" w:customStyle="1">
    <w:name w:val="Таблица шапка"/>
    <w:qFormat/>
    <w:pPr>
      <w:ind w:left="57" w:right="57" w:firstLine="0"/>
      <w:jc w:val="left"/>
      <w:keepNext/>
      <w:spacing w:before="40" w:after="40" w:line="240" w:lineRule="auto"/>
      <w:widowControl/>
    </w:pPr>
    <w:rPr>
      <w:rFonts w:ascii="Times New Roman" w:hAnsi="Times New Roman" w:eastAsia="Times New Roman" w:cs="Times New Roman"/>
      <w:color w:val="auto"/>
      <w:sz w:val="22"/>
      <w:szCs w:val="26"/>
      <w:lang w:val="ru-RU" w:eastAsia="ru-RU" w:bidi="ar-SA"/>
    </w:rPr>
  </w:style>
  <w:style w:type="paragraph" w:styleId="872">
    <w:name w:val="Содержимое врезки"/>
    <w:basedOn w:val="780"/>
    <w:qFormat/>
  </w:style>
  <w:style w:type="paragraph" w:styleId="873">
    <w:name w:val="Содержимое таблицы"/>
    <w:basedOn w:val="780"/>
    <w:qFormat/>
    <w:pPr>
      <w:widowControl w:val="off"/>
      <w:suppressLineNumbers/>
    </w:pPr>
  </w:style>
  <w:style w:type="paragraph" w:styleId="874">
    <w:name w:val="Заголовок таблицы"/>
    <w:basedOn w:val="873"/>
    <w:qFormat/>
    <w:pPr>
      <w:jc w:val="center"/>
      <w:suppressLineNumbers/>
    </w:pPr>
    <w:rPr>
      <w:b/>
      <w:bCs/>
    </w:rPr>
  </w:style>
  <w:style w:type="numbering" w:styleId="875" w:default="1">
    <w:name w:val="No List"/>
    <w:uiPriority w:val="99"/>
    <w:semiHidden/>
    <w:unhideWhenUsed/>
    <w:qFormat/>
  </w:style>
  <w:style w:type="table" w:styleId="87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77" w:customStyle="1">
    <w:name w:val="Table Grid Light"/>
    <w:basedOn w:val="87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>
    <w:name w:val="Plain Table 1"/>
    <w:basedOn w:val="87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79">
    <w:name w:val="Plain Table 2"/>
    <w:basedOn w:val="87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880">
    <w:name w:val="Plain Table 3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>
    <w:name w:val="Plain Table 4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Plain Table 5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1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>
    <w:name w:val="Grid Table 1 Light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deaf6" w:fill="ddeaf6" w:themeFill="accent1" w:themeFillTint="34"/>
      </w:tcPr>
    </w:tblStylePr>
    <w:tblStylePr w:type="band1Vert">
      <w:rPr>
        <w:color w:val="404040"/>
        <w:sz w:val="22"/>
      </w:rPr>
      <w:tcPr>
        <w:shd w:val="clear" w:color="ddeaf6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4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eebf6" w:fill="deebf6" w:themeFill="accent1" w:themeFillTint="32"/>
      </w:tcPr>
    </w:tblStylePr>
    <w:tblStylePr w:type="band1Vert">
      <w:rPr>
        <w:color w:val="404040"/>
        <w:sz w:val="22"/>
      </w:rPr>
      <w:tcPr>
        <w:shd w:val="clear" w:color="deebf6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68a2d8" w:fill="68a2d8" w:themeFill="accent1" w:themeFillTint="EA"/>
        <w:tcBorders>
          <w:top w:val="single" w:color="68A2D8" w:themeColor="accent1" w:sz="4" w:space="0"/>
          <w:left w:val="single" w:color="68A2D8" w:themeColor="accent1" w:sz="4" w:space="0"/>
          <w:bottom w:val="single" w:color="68A2D8" w:themeColor="accent1" w:sz="4" w:space="0"/>
          <w:right w:val="single" w:color="68A2D8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sz="4" w:space="0"/>
        </w:tcBorders>
      </w:tcPr>
    </w:tblStylePr>
  </w:style>
  <w:style w:type="table" w:styleId="906" w:customStyle="1">
    <w:name w:val="Grid Table 4 - Accent 2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1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  <w:tcBorders>
          <w:top w:val="single" w:color="F4B184" w:themeColor="accent2" w:sz="4" w:space="0"/>
          <w:left w:val="single" w:color="F4B184" w:themeColor="accent2" w:sz="4" w:space="0"/>
          <w:bottom w:val="single" w:color="F4B184" w:themeColor="accent2" w:sz="4" w:space="0"/>
          <w:right w:val="single" w:color="F4B184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sz="4" w:space="0"/>
        </w:tcBorders>
      </w:tcPr>
    </w:tblStylePr>
  </w:style>
  <w:style w:type="table" w:styleId="907" w:customStyle="1">
    <w:name w:val="Grid Table 4 - Accent 3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1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 w:themeFillTint="FE"/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</w:tcBorders>
      </w:tcPr>
    </w:tblStylePr>
  </w:style>
  <w:style w:type="table" w:styleId="908" w:customStyle="1">
    <w:name w:val="Grid Table 4 - Accent 4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1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  <w:tcBorders>
          <w:top w:val="single" w:color="FFD865" w:themeColor="accent4" w:sz="4" w:space="0"/>
          <w:left w:val="single" w:color="FFD865" w:themeColor="accent4" w:sz="4" w:space="0"/>
          <w:bottom w:val="single" w:color="FFD865" w:themeColor="accent4" w:sz="4" w:space="0"/>
          <w:right w:val="single" w:color="FFD865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sz="4" w:space="0"/>
        </w:tcBorders>
      </w:tcPr>
    </w:tblStylePr>
  </w:style>
  <w:style w:type="table" w:styleId="909" w:customStyle="1">
    <w:name w:val="Grid Table 4 - Accent 5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1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10" w:customStyle="1">
    <w:name w:val="Grid Table 4 - Accent 6"/>
    <w:basedOn w:val="87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1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1">
    <w:name w:val="Grid Table 5 Dark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3d0eb" w:fill="b3d0eb" w:themeFill="accent1" w:themeFillTint="75"/>
      </w:tcPr>
    </w:tblStylePr>
    <w:tblStylePr w:type="band1Vert">
      <w:tcPr>
        <w:shd w:val="clear" w:color="b3d0eb" w:fill="b3d0eb" w:themeFill="accent1" w:themeFillTint="75"/>
      </w:tcPr>
    </w:tblStylePr>
    <w:tblStylePr w:type="firstCol">
      <w:rPr>
        <w:b/>
        <w:color w:val="ffffff"/>
        <w:sz w:val="22"/>
      </w:rPr>
      <w:tcPr>
        <w:shd w:val="clear" w:color="5b9bd5" w:fill="5b9bd5" w:themeFill="accent1"/>
      </w:tc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cPr>
        <w:shd w:val="clear" w:color="5b9bd5" w:fill="5b9bd5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6c3a0" w:fill="f6c3a0" w:themeFill="accent2" w:themeFillTint="75"/>
      </w:tcPr>
    </w:tblStylePr>
    <w:tblStylePr w:type="band1Vert">
      <w:tcPr>
        <w:shd w:val="clear" w:color="f6c3a0" w:fill="f6c3a0" w:themeFill="accent2" w:themeFillTint="75"/>
      </w:tcPr>
    </w:tblStylePr>
    <w:tblStylePr w:type="firstCol">
      <w:rPr>
        <w:b/>
        <w:color w:val="ffffff"/>
        <w:sz w:val="22"/>
      </w:rPr>
      <w:tcPr>
        <w:shd w:val="clear" w:color="ed7d31" w:fill="ed7d31" w:themeFill="accent2"/>
      </w:tc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cPr>
        <w:shd w:val="clear" w:color="ed7d31" w:fill="ed7d31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5d5d5" w:fill="d5d5d5" w:themeFill="accent3" w:themeFillTint="75"/>
      </w:tcPr>
    </w:tblStylePr>
    <w:tblStylePr w:type="band1Vert">
      <w:tcPr>
        <w:shd w:val="clear" w:color="d5d5d5" w:fill="d5d5d5" w:themeFill="accent3" w:themeFillTint="75"/>
      </w:tcPr>
    </w:tblStylePr>
    <w:tblStylePr w:type="firstCol">
      <w:rPr>
        <w:b/>
        <w:color w:val="ffffff"/>
        <w:sz w:val="22"/>
      </w:rPr>
      <w:tcPr>
        <w:shd w:val="clear" w:color="a5a5a5" w:fill="a5a5a5" w:themeFill="accent3"/>
      </w:tc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cPr>
        <w:shd w:val="clear" w:color="a5a5a5" w:fill="a5a5a5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fe28a" w:fill="ffe28a" w:themeFill="accent4" w:themeFillTint="75"/>
      </w:tcPr>
    </w:tblStylePr>
    <w:tblStylePr w:type="band1Vert">
      <w:tcPr>
        <w:shd w:val="clear" w:color="ffe28a" w:fill="ffe28a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c000" w:fill="ffc000" w:themeFill="accent4"/>
      </w:tc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cPr>
        <w:shd w:val="clear" w:color="ffc000" w:fill="ffc000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9bee4" w:fill="a9bee4" w:themeFill="accent5" w:themeFillTint="75"/>
      </w:tcPr>
    </w:tblStylePr>
    <w:tblStylePr w:type="band1Vert">
      <w:tcPr>
        <w:shd w:val="clear" w:color="a9bee4" w:fill="a9be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472c4" w:fill="4472c4" w:themeFill="accent5"/>
      </w:tc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cPr>
        <w:shd w:val="clear" w:color="4472c4" w:fill="4472c4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bcdba8" w:fill="bcdba8" w:themeFill="accent6" w:themeFillTint="75"/>
      </w:tcPr>
    </w:tblStylePr>
    <w:tblStylePr w:type="band1Vert">
      <w:tcPr>
        <w:shd w:val="clear" w:color="bcdba8" w:fill="bcdba8" w:themeFill="accent6" w:themeFillTint="75"/>
      </w:tcPr>
    </w:tblStylePr>
    <w:tblStylePr w:type="firstCol">
      <w:rPr>
        <w:b/>
        <w:color w:val="ffffff"/>
        <w:sz w:val="22"/>
      </w:rPr>
      <w:tcPr>
        <w:shd w:val="clear" w:color="70ad47" w:fill="70ad47" w:themeFill="accent6"/>
      </w:tc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cPr>
        <w:shd w:val="clear" w:color="70ad47" w:fill="70ad47" w:themeFill="accent6"/>
        <w:tcBorders>
          <w:top w:val="single" w:color="FFFFFF" w:themeColor="light1" w:sz="4" w:space="0"/>
        </w:tcBorders>
      </w:tcPr>
    </w:tblStylePr>
  </w:style>
  <w:style w:type="table" w:styleId="918">
    <w:name w:val="Grid Table 6 Colorful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20" w:customStyle="1">
    <w:name w:val="Grid Table 6 Colorful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1" w:customStyle="1">
    <w:name w:val="Grid Table 6 Colorful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2" w:customStyle="1">
    <w:name w:val="Grid Table 6 Colorful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3" w:customStyle="1">
    <w:name w:val="Grid Table 6 Colorful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4" w:customStyle="1">
    <w:name w:val="Grid Table 6 Colorful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5">
    <w:name w:val="Grid Table 7 Colorful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2f2f2" w:themeFill="text1" w:themeFillTint="00"/>
      </w:tcPr>
    </w:tblStylePr>
    <w:tblStylePr w:type="band1Vert">
      <w:tcPr>
        <w:shd w:val="clear" w:color="f2f2f2" w:fill="f2f2f2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color w:val="acccea" w:themeColor="accent1" w:themeTint="80" w:themeShade="95"/>
        <w:sz w:val="22"/>
      </w:rPr>
      <w:tcPr>
        <w:shd w:val="clear" w:color="ddeaf6" w:fill="ddeaf6" w:themeFill="accent1" w:themeFillTint="34"/>
      </w:tcPr>
    </w:tblStylePr>
    <w:tblStylePr w:type="band1Vert"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  <w:tblStylePr w:type="firstCol">
      <w:rPr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sz="4" w:space="0"/>
        </w:tcBorders>
      </w:tcPr>
    </w:tblStylePr>
    <w:tblStylePr w:type="fir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sz="4" w:space="0"/>
          <w:right w:val="none" w:color="000000" w:sz="4" w:space="0"/>
        </w:tcBorders>
      </w:tcPr>
    </w:tblStylePr>
    <w:tblStylePr w:type="lastCol">
      <w:rPr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cccea" w:themeColor="accent1" w:themeTint="80" w:themeShade="95"/>
        <w:sz w:val="22"/>
      </w:rPr>
      <w:tcPr>
        <w:shd w:val="clear" w:color="ffffff" w:fill="ffffff" w:themeFill="light1"/>
        <w:tcBorders>
          <w:top w:val="single" w:color="ACCCEA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be5d6" w:fill="fbe5d6" w:themeFill="accent2" w:themeFillTint="32"/>
      </w:tcPr>
    </w:tblStylePr>
    <w:tblStylePr w:type="band1Vert"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color w:val="a5a5a5" w:themeColor="accent3" w:themeTint="FE" w:themeShade="95"/>
        <w:sz w:val="22"/>
      </w:rPr>
      <w:tcPr>
        <w:shd w:val="clear" w:color="ececec" w:fill="ececec" w:themeFill="accent3" w:themeFillTint="34"/>
      </w:tcPr>
    </w:tblStylePr>
    <w:tblStylePr w:type="band1Vert"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  <w:tblStylePr w:type="firstCol">
      <w:rPr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sz="4" w:space="0"/>
        </w:tcBorders>
      </w:tcPr>
    </w:tblStylePr>
    <w:tblStylePr w:type="fir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5a5a5" w:themeColor="accent3" w:themeTint="FE" w:themeShade="95"/>
        <w:sz w:val="22"/>
      </w:rPr>
      <w:tcPr>
        <w:shd w:val="clear" w:color="ffffff" w:fill="ffffff" w:themeFill="light1"/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f2cb" w:fill="fff2cb" w:themeFill="accent4" w:themeFillTint="34"/>
      </w:tcPr>
    </w:tblStylePr>
    <w:tblStylePr w:type="band1Vert"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color w:val="254175" w:themeColor="accent5" w:themeShade="95"/>
        <w:sz w:val="22"/>
      </w:rPr>
      <w:tcPr>
        <w:shd w:val="clear" w:color="d8e2f3" w:fill="d8e2f3" w:themeFill="accent5" w:themeFillTint="34"/>
      </w:tcPr>
    </w:tblStylePr>
    <w:tblStylePr w:type="band1Vert"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  <w:tblStylePr w:type="firstCol">
      <w:rPr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sz="4" w:space="0"/>
        </w:tcBorders>
      </w:tcPr>
    </w:tblStylePr>
    <w:tblStylePr w:type="fir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175" w:themeColor="accent5" w:themeShade="95"/>
        <w:sz w:val="22"/>
      </w:rPr>
      <w:tcPr>
        <w:shd w:val="clear" w:color="ffffff" w:fill="ffffff" w:themeFill="light1"/>
        <w:tcBorders>
          <w:top w:val="single" w:color="95AFDD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color w:val="416429" w:themeColor="accent6" w:themeShade="95"/>
        <w:sz w:val="22"/>
      </w:rPr>
      <w:tcPr>
        <w:shd w:val="clear" w:color="e1efd8" w:fill="e1efd8" w:themeFill="accent6" w:themeFillTint="34"/>
      </w:tcPr>
    </w:tblStylePr>
    <w:tblStylePr w:type="band1Vert"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  <w:tblStylePr w:type="firstCol">
      <w:rPr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sz="4" w:space="0"/>
        </w:tcBorders>
      </w:tcPr>
    </w:tblStylePr>
    <w:tblStylePr w:type="fir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429" w:themeColor="accent6" w:themeShade="95"/>
        <w:sz w:val="22"/>
      </w:rPr>
      <w:tcPr>
        <w:shd w:val="clear" w:color="ffffff" w:fill="ffffff" w:themeFill="light1"/>
        <w:tcBorders>
          <w:top w:val="single" w:color="ADD394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7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2C6E7" w:themeColor="accent1" w:sz="4" w:space="0"/>
          <w:left w:val="none" w:color="000000" w:sz="4" w:space="0"/>
          <w:bottom w:val="single" w:color="A2C6E7" w:themeColor="accent1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4B58A" w:themeColor="accent2" w:sz="4" w:space="0"/>
          <w:left w:val="none" w:color="000000" w:sz="4" w:space="0"/>
          <w:bottom w:val="single" w:color="F4B58A" w:themeColor="accent2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CCCCC" w:themeColor="accent3" w:sz="4" w:space="0"/>
          <w:left w:val="none" w:color="000000" w:sz="4" w:space="0"/>
          <w:bottom w:val="single" w:color="CCCCCC" w:themeColor="accent3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FDB6F" w:themeColor="accent4" w:sz="4" w:space="0"/>
          <w:left w:val="none" w:color="000000" w:sz="4" w:space="0"/>
          <w:bottom w:val="single" w:color="FFDB6F" w:themeColor="accent4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5AFDD" w:themeColor="accent5" w:sz="4" w:space="0"/>
          <w:left w:val="none" w:color="000000" w:sz="4" w:space="0"/>
          <w:bottom w:val="single" w:color="95AFDD" w:themeColor="accent5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ADD394" w:themeColor="accent6" w:sz="4" w:space="0"/>
          <w:left w:val="none" w:color="000000" w:sz="4" w:space="0"/>
          <w:bottom w:val="single" w:color="ADD394" w:themeColor="accent6" w:sz="4" w:space="0"/>
          <w:right w:val="none" w:color="000000" w:sz="4" w:space="0"/>
        </w:tcBorders>
      </w:tcPr>
    </w:tblStylePr>
  </w:style>
  <w:style w:type="table" w:styleId="946">
    <w:name w:val="List Table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F4B184" w:themeColor="accent2" w:sz="4" w:space="0"/>
          <w:bottom w:val="single" w:color="F4B184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4B184" w:themeColor="accent2" w:sz="4" w:space="0"/>
          <w:right w:val="single" w:color="F4B184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4b184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C9C9C9" w:themeColor="accent3" w:sz="4" w:space="0"/>
          <w:bottom w:val="single" w:color="C9C9C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9C9C9" w:themeColor="accent3" w:sz="4" w:space="0"/>
          <w:right w:val="single" w:color="C9C9C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9c9c9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FFD865" w:themeColor="accent4" w:sz="4" w:space="0"/>
          <w:bottom w:val="single" w:color="FFD865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FD865" w:themeColor="accent4" w:sz="4" w:space="0"/>
          <w:right w:val="single" w:color="FFD865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d865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DA9DB" w:themeColor="accent5" w:sz="4" w:space="0"/>
          <w:bottom w:val="single" w:color="8DA9DB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DA9DB" w:themeColor="accent5" w:sz="4" w:space="0"/>
          <w:right w:val="single" w:color="8DA9DB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da9db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A9D08E" w:themeColor="accent6" w:sz="4" w:space="0"/>
          <w:bottom w:val="single" w:color="A9D08E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A9D08E" w:themeColor="accent6" w:sz="4" w:space="0"/>
          <w:right w:val="single" w:color="A9D08E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9d08e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5e5f4" w:fill="d5e5f4" w:themeFill="accent1" w:themeFillTint="40"/>
      </w:tcPr>
    </w:tblStylePr>
    <w:tblStylePr w:type="band1Vert">
      <w:rPr>
        <w:color w:val="404040"/>
        <w:sz w:val="22"/>
      </w:rPr>
      <w:tcPr>
        <w:shd w:val="clear" w:color="d5e5f4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b9bd5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adecb" w:fill="fadecb" w:themeFill="accent2" w:themeFillTint="40"/>
      </w:tcPr>
    </w:tblStylePr>
    <w:tblStylePr w:type="band1Vert">
      <w:rPr>
        <w:color w:val="404040"/>
        <w:sz w:val="22"/>
      </w:rPr>
      <w:tcPr>
        <w:shd w:val="clear" w:color="fadecb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ed7d31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8e8e8" w:fill="e8e8e8" w:themeFill="accent3" w:themeFillTint="40"/>
      </w:tcPr>
    </w:tblStylePr>
    <w:tblStylePr w:type="band1Vert">
      <w:rPr>
        <w:color w:val="404040"/>
        <w:sz w:val="22"/>
      </w:rPr>
      <w:tcPr>
        <w:shd w:val="clear" w:color="e8e8e8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a5a5a5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efbf" w:fill="ffefbf" w:themeFill="accent4" w:themeFillTint="40"/>
      </w:tcPr>
    </w:tblStylePr>
    <w:tblStylePr w:type="band1Vert">
      <w:rPr>
        <w:color w:val="404040"/>
        <w:sz w:val="22"/>
      </w:rPr>
      <w:tcPr>
        <w:shd w:val="clear" w:color="ffefbf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c000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cfdbf0" w:fill="cfdbf0" w:themeFill="accent5" w:themeFillTint="40"/>
      </w:tcPr>
    </w:tblStylePr>
    <w:tblStylePr w:type="band1Vert">
      <w:rPr>
        <w:color w:val="404040"/>
        <w:sz w:val="22"/>
      </w:rPr>
      <w:tcPr>
        <w:shd w:val="clear" w:color="cfdbf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472c4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daebcf" w:fill="daebcf" w:themeFill="accent6" w:themeFillTint="40"/>
      </w:tcPr>
    </w:tblStylePr>
    <w:tblStylePr w:type="band1Vert">
      <w:rPr>
        <w:color w:val="404040"/>
        <w:sz w:val="22"/>
      </w:rPr>
      <w:tcPr>
        <w:shd w:val="clear" w:color="daebcf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70ad47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7F7F7F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band1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5b9bd5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</w:tblPr>
    <w:tblStylePr w:type="band1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4B184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4b184" w:fill="f4b184" w:themeFill="accent2" w:themeFillTint="97"/>
        <w:tcBorders>
          <w:top w:val="single" w:color="F4B184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band1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9C9C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9c9c9" w:fill="c9c9c9" w:themeFill="accent3" w:themeFillTint="98"/>
        <w:tcBorders>
          <w:top w:val="single" w:color="C9C9C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</w:tblPr>
    <w:tblStylePr w:type="band1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FD865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d865" w:fill="ffd865" w:themeFill="accent4" w:themeFillTint="9A"/>
        <w:tcBorders>
          <w:top w:val="single" w:color="FFD865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</w:tblPr>
    <w:tblStylePr w:type="band1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DA9DB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8da9db" w:fill="8da9db" w:themeFill="accent5" w:themeFillTint="9A"/>
        <w:tcBorders>
          <w:top w:val="single" w:color="8DA9DB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band1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A9D08E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a9d08e" w:fill="a9d08e" w:themeFill="accent6" w:themeFillTint="98"/>
        <w:tcBorders>
          <w:top w:val="single" w:color="A9D08E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967">
    <w:name w:val="List Table 6 Colorful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sz="4" w:space="0"/>
        </w:tcBorders>
      </w:tcPr>
    </w:tblStylePr>
  </w:style>
  <w:style w:type="table" w:styleId="968" w:customStyle="1">
    <w:name w:val="List Table 6 Colorful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69" w:customStyle="1">
    <w:name w:val="List Table 6 Colorful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sz="4" w:space="0"/>
        </w:tcBorders>
      </w:tcPr>
    </w:tblStylePr>
  </w:style>
  <w:style w:type="table" w:styleId="970" w:customStyle="1">
    <w:name w:val="List Table 6 Colorful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sz="4" w:space="0"/>
        </w:tcBorders>
      </w:tcPr>
    </w:tblStylePr>
  </w:style>
  <w:style w:type="table" w:styleId="971" w:customStyle="1">
    <w:name w:val="List Table 6 Colorful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sz="4" w:space="0"/>
        </w:tcBorders>
      </w:tcPr>
    </w:tblStylePr>
  </w:style>
  <w:style w:type="table" w:styleId="972" w:customStyle="1">
    <w:name w:val="List Table 6 Colorful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sz="4" w:space="0"/>
        </w:tcBorders>
      </w:tcPr>
    </w:tblStylePr>
  </w:style>
  <w:style w:type="table" w:styleId="973" w:customStyle="1">
    <w:name w:val="List Table 6 Colorful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sz="4" w:space="0"/>
        </w:tcBorders>
      </w:tcPr>
    </w:tblStylePr>
  </w:style>
  <w:style w:type="table" w:styleId="974">
    <w:name w:val="List Table 7 Colorful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color w:val="245a8d" w:themeColor="accent1" w:themeShade="95"/>
        <w:sz w:val="22"/>
      </w:rPr>
      <w:tcPr>
        <w:shd w:val="clear" w:color="d5e5f4" w:fill="d5e5f4" w:themeFill="accent1" w:themeFillTint="40"/>
      </w:tcPr>
    </w:tblStylePr>
    <w:tblStylePr w:type="band1Vert"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  <w:tblStylePr w:type="firstCol">
      <w:rPr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a8d" w:themeColor="accent1" w:themeShade="95"/>
        <w:sz w:val="22"/>
      </w:rPr>
      <w:tcPr>
        <w:shd w:val="clear" w:color="ffffff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color w:val="f4b184" w:themeColor="accent2" w:themeTint="97" w:themeShade="95"/>
        <w:sz w:val="22"/>
      </w:rPr>
      <w:tcPr>
        <w:shd w:val="clear" w:color="fadecb" w:fill="fadecb" w:themeFill="accent2" w:themeFillTint="40"/>
      </w:tcPr>
    </w:tblStylePr>
    <w:tblStylePr w:type="band1Vert"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  <w:tblStylePr w:type="firstCol">
      <w:rPr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sz="4" w:space="0"/>
        </w:tcBorders>
      </w:tcPr>
    </w:tblStylePr>
    <w:tblStylePr w:type="fir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sz="4" w:space="0"/>
          <w:right w:val="none" w:color="000000" w:sz="4" w:space="0"/>
        </w:tcBorders>
      </w:tcPr>
    </w:tblStylePr>
    <w:tblStylePr w:type="lastCol">
      <w:rPr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4b184" w:themeColor="accent2" w:themeTint="97" w:themeShade="95"/>
        <w:sz w:val="22"/>
      </w:rPr>
      <w:tcPr>
        <w:shd w:val="clear" w:color="ffffff" w:fill="ffffff" w:themeFill="light1"/>
        <w:tcBorders>
          <w:top w:val="single" w:color="F4B184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color w:val="c9c9c9" w:themeColor="accent3" w:themeTint="98" w:themeShade="95"/>
        <w:sz w:val="22"/>
      </w:rPr>
      <w:tcPr>
        <w:shd w:val="clear" w:color="e8e8e8" w:fill="e8e8e8" w:themeFill="accent3" w:themeFillTint="40"/>
      </w:tcPr>
    </w:tblStylePr>
    <w:tblStylePr w:type="band1Vert"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  <w:tblStylePr w:type="firstCol">
      <w:rPr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sz="4" w:space="0"/>
        </w:tcBorders>
      </w:tcPr>
    </w:tblStylePr>
    <w:tblStylePr w:type="fir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sz="4" w:space="0"/>
          <w:right w:val="none" w:color="000000" w:sz="4" w:space="0"/>
        </w:tcBorders>
      </w:tcPr>
    </w:tblStylePr>
    <w:tblStylePr w:type="lastCol">
      <w:rPr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c9c9" w:themeColor="accent3" w:themeTint="98" w:themeShade="95"/>
        <w:sz w:val="22"/>
      </w:rPr>
      <w:tcPr>
        <w:shd w:val="clear" w:color="ffffff" w:fill="ffffff" w:themeFill="light1"/>
        <w:tcBorders>
          <w:top w:val="single" w:color="C9C9C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color w:val="ffd865" w:themeColor="accent4" w:themeTint="9A" w:themeShade="95"/>
        <w:sz w:val="22"/>
      </w:rPr>
      <w:tcPr>
        <w:shd w:val="clear" w:color="ffefbf" w:fill="ffefbf" w:themeFill="accent4" w:themeFillTint="40"/>
      </w:tcPr>
    </w:tblStylePr>
    <w:tblStylePr w:type="band1Vert"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  <w:tblStylePr w:type="firstCol">
      <w:rPr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sz="4" w:space="0"/>
        </w:tcBorders>
      </w:tcPr>
    </w:tblStylePr>
    <w:tblStylePr w:type="fir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sz="4" w:space="0"/>
          <w:right w:val="none" w:color="000000" w:sz="4" w:space="0"/>
        </w:tcBorders>
      </w:tcPr>
    </w:tblStylePr>
    <w:tblStylePr w:type="lastCol">
      <w:rPr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fd865" w:themeColor="accent4" w:themeTint="9A" w:themeShade="95"/>
        <w:sz w:val="22"/>
      </w:rPr>
      <w:tcPr>
        <w:shd w:val="clear" w:color="ffffff" w:fill="ffffff" w:themeFill="light1"/>
        <w:tcBorders>
          <w:top w:val="single" w:color="FFD865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color w:val="8da9db" w:themeColor="accent5" w:themeTint="9A" w:themeShade="95"/>
        <w:sz w:val="22"/>
      </w:rPr>
      <w:tcPr>
        <w:shd w:val="clear" w:color="cfdbf0" w:fill="cfdbf0" w:themeFill="accent5" w:themeFillTint="40"/>
      </w:tcPr>
    </w:tblStylePr>
    <w:tblStylePr w:type="band1Vert"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  <w:tblStylePr w:type="firstCol">
      <w:rPr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sz="4" w:space="0"/>
        </w:tcBorders>
      </w:tcPr>
    </w:tblStylePr>
    <w:tblStylePr w:type="fir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sz="4" w:space="0"/>
          <w:right w:val="none" w:color="000000" w:sz="4" w:space="0"/>
        </w:tcBorders>
      </w:tcPr>
    </w:tblStylePr>
    <w:tblStylePr w:type="lastCol">
      <w:rPr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8da9db" w:themeColor="accent5" w:themeTint="9A" w:themeShade="95"/>
        <w:sz w:val="22"/>
      </w:rPr>
      <w:tcPr>
        <w:shd w:val="clear" w:color="ffffff" w:fill="ffffff" w:themeFill="light1"/>
        <w:tcBorders>
          <w:top w:val="single" w:color="8DA9DB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color w:val="a9d08e" w:themeColor="accent6" w:themeTint="98" w:themeShade="95"/>
        <w:sz w:val="22"/>
      </w:rPr>
      <w:tcPr>
        <w:shd w:val="clear" w:color="daebcf" w:fill="daebcf" w:themeFill="accent6" w:themeFillTint="40"/>
      </w:tcPr>
    </w:tblStylePr>
    <w:tblStylePr w:type="band1Vert"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  <w:tblStylePr w:type="firstCol">
      <w:rPr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sz="4" w:space="0"/>
        </w:tcBorders>
      </w:tcPr>
    </w:tblStylePr>
    <w:tblStylePr w:type="fir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sz="4" w:space="0"/>
          <w:right w:val="none" w:color="000000" w:sz="4" w:space="0"/>
        </w:tcBorders>
      </w:tcPr>
    </w:tblStylePr>
    <w:tblStylePr w:type="lastCol">
      <w:rPr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a9d08e" w:themeColor="accent6" w:themeTint="98" w:themeShade="95"/>
        <w:sz w:val="22"/>
      </w:rPr>
      <w:tcPr>
        <w:shd w:val="clear" w:color="ffffff" w:fill="ffffff" w:themeFill="light1"/>
        <w:tcBorders>
          <w:top w:val="single" w:color="A9D08E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ned - Accent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82" w:customStyle="1">
    <w:name w:val="Lined - Accent 1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83" w:customStyle="1">
    <w:name w:val="Lined - Accent 2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84" w:customStyle="1">
    <w:name w:val="Lined - Accent 3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85" w:customStyle="1">
    <w:name w:val="Lined - Accent 4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86" w:customStyle="1">
    <w:name w:val="Lined - Accent 5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87" w:customStyle="1">
    <w:name w:val="Lined - Accent 6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88" w:customStyle="1">
    <w:name w:val="Bordered &amp; Lined - Accent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2f2f2" w:themeFill="text1" w:themeFillTint="00"/>
      </w:tcPr>
    </w:tblStylePr>
    <w:tblStylePr w:type="band2Vert">
      <w:rPr>
        <w:color w:val="404040"/>
        <w:sz w:val="22"/>
      </w:rPr>
      <w:tcPr>
        <w:shd w:val="clear" w:color="f2f2f2" w:fill="f2f2f2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989" w:customStyle="1">
    <w:name w:val="Bordered &amp; Lined - Accent 1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bdff1" w:fill="cbdff1" w:themeFill="accent1" w:themeFillTint="50"/>
      </w:tcPr>
    </w:tblStylePr>
    <w:tblStylePr w:type="band2Vert">
      <w:rPr>
        <w:color w:val="404040"/>
        <w:sz w:val="22"/>
      </w:rPr>
      <w:tcPr>
        <w:shd w:val="clear" w:color="cbdff1" w:fill="cbdff1" w:themeFill="accent1" w:themeFillTint="50"/>
      </w:tcPr>
    </w:tblStylePr>
    <w:tblStylePr w:type="fir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firstRow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cPr>
        <w:shd w:val="clear" w:color="68a2d8" w:fill="68a2d8" w:themeFill="accent1" w:themeFillTint="EA"/>
      </w:tcPr>
    </w:tblStylePr>
  </w:style>
  <w:style w:type="table" w:styleId="990" w:customStyle="1">
    <w:name w:val="Bordered &amp; Lined - Accent 2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be5d6" w:fill="fbe5d6" w:themeFill="accent2" w:themeFillTint="32"/>
      </w:tcPr>
    </w:tblStylePr>
    <w:tblStylePr w:type="band2Vert">
      <w:rPr>
        <w:color w:val="404040"/>
        <w:sz w:val="22"/>
      </w:rPr>
      <w:tcPr>
        <w:shd w:val="clear" w:color="fbe5d6" w:fill="fbe5d6" w:themeFill="accent2" w:themeFillTint="32"/>
      </w:tcPr>
    </w:tblStylePr>
    <w:tblStylePr w:type="fir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firstRow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cPr>
        <w:shd w:val="clear" w:color="f4b184" w:fill="f4b184" w:themeFill="accent2" w:themeFillTint="97"/>
      </w:tcPr>
    </w:tblStylePr>
  </w:style>
  <w:style w:type="table" w:styleId="991" w:customStyle="1">
    <w:name w:val="Bordered &amp; Lined - Accent 3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cecec" w:fill="ececec" w:themeFill="accent3" w:themeFillTint="34"/>
      </w:tcPr>
    </w:tblStylePr>
    <w:tblStylePr w:type="band2Vert">
      <w:rPr>
        <w:color w:val="404040"/>
        <w:sz w:val="22"/>
      </w:rPr>
      <w:tcPr>
        <w:shd w:val="clear" w:color="ececec" w:fill="ececec" w:themeFill="accent3" w:themeFillTint="34"/>
      </w:tcPr>
    </w:tblStylePr>
    <w:tblStylePr w:type="fir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firstRow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cPr>
        <w:shd w:val="clear" w:color="a5a5a5" w:fill="a5a5a5" w:themeFill="accent3" w:themeFillTint="FE"/>
      </w:tcPr>
    </w:tblStylePr>
  </w:style>
  <w:style w:type="table" w:styleId="992" w:customStyle="1">
    <w:name w:val="Bordered &amp; Lined - Accent 4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2cb" w:fill="fff2cb" w:themeFill="accent4" w:themeFillTint="34"/>
      </w:tcPr>
    </w:tblStylePr>
    <w:tblStylePr w:type="band2Vert">
      <w:rPr>
        <w:color w:val="404040"/>
        <w:sz w:val="22"/>
      </w:rPr>
      <w:tcPr>
        <w:shd w:val="clear" w:color="fff2cb" w:fill="fff2cb" w:themeFill="accent4" w:themeFillTint="34"/>
      </w:tcPr>
    </w:tblStylePr>
    <w:tblStylePr w:type="fir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firstRow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cPr>
        <w:shd w:val="clear" w:color="ffd865" w:fill="ffd865" w:themeFill="accent4" w:themeFillTint="9A"/>
      </w:tcPr>
    </w:tblStylePr>
  </w:style>
  <w:style w:type="table" w:styleId="993" w:customStyle="1">
    <w:name w:val="Bordered &amp; Lined - Accent 5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8e2f3" w:fill="d8e2f3" w:themeFill="accent5" w:themeFillTint="34"/>
      </w:tcPr>
    </w:tblStylePr>
    <w:tblStylePr w:type="band2Vert">
      <w:rPr>
        <w:color w:val="404040"/>
        <w:sz w:val="22"/>
      </w:rPr>
      <w:tcPr>
        <w:shd w:val="clear" w:color="d8e2f3" w:fill="d8e2f3" w:themeFill="accent5" w:themeFillTint="34"/>
      </w:tcPr>
    </w:tblStylePr>
    <w:tblStylePr w:type="firstCol">
      <w:rPr>
        <w:color w:val="f2f2f2"/>
        <w:sz w:val="22"/>
      </w:rPr>
      <w:tcPr>
        <w:shd w:val="clear" w:color="4472c4" w:fill="4472c4" w:themeFill="accent5"/>
      </w:tcPr>
    </w:tblStylePr>
    <w:tblStylePr w:type="firstRow">
      <w:rPr>
        <w:color w:val="f2f2f2"/>
        <w:sz w:val="22"/>
      </w:rPr>
      <w:tcPr>
        <w:shd w:val="clear" w:color="4472c4" w:fill="4472c4" w:themeFill="accent5"/>
      </w:tcPr>
    </w:tblStylePr>
    <w:tblStylePr w:type="lastCol">
      <w:rPr>
        <w:color w:val="f2f2f2"/>
        <w:sz w:val="22"/>
      </w:rPr>
      <w:tcPr>
        <w:shd w:val="clear" w:color="4472c4" w:fill="4472c4" w:themeFill="accent5"/>
      </w:tcPr>
    </w:tblStylePr>
    <w:tblStylePr w:type="lastRow">
      <w:rPr>
        <w:color w:val="f2f2f2"/>
        <w:sz w:val="22"/>
      </w:rPr>
      <w:tcPr>
        <w:shd w:val="clear" w:color="4472c4" w:fill="4472c4" w:themeFill="accent5"/>
      </w:tcPr>
    </w:tblStylePr>
  </w:style>
  <w:style w:type="table" w:styleId="994" w:customStyle="1">
    <w:name w:val="Bordered &amp; Lined - Accent 6"/>
    <w:basedOn w:val="87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1efd8" w:fill="e1efd8" w:themeFill="accent6" w:themeFillTint="34"/>
      </w:tcPr>
    </w:tblStylePr>
    <w:tblStylePr w:type="band2Vert">
      <w:rPr>
        <w:color w:val="404040"/>
        <w:sz w:val="22"/>
      </w:rPr>
      <w:tcPr>
        <w:shd w:val="clear" w:color="e1efd8" w:fill="e1efd8" w:themeFill="accent6" w:themeFillTint="34"/>
      </w:tcPr>
    </w:tblStylePr>
    <w:tblStylePr w:type="firstCol">
      <w:rPr>
        <w:color w:val="f2f2f2"/>
        <w:sz w:val="22"/>
      </w:rPr>
      <w:tcPr>
        <w:shd w:val="clear" w:color="70ad47" w:fill="70ad47" w:themeFill="accent6"/>
      </w:tcPr>
    </w:tblStylePr>
    <w:tblStylePr w:type="firstRow">
      <w:rPr>
        <w:color w:val="f2f2f2"/>
        <w:sz w:val="22"/>
      </w:rPr>
      <w:tcPr>
        <w:shd w:val="clear" w:color="70ad47" w:fill="70ad47" w:themeFill="accent6"/>
      </w:tcPr>
    </w:tblStylePr>
    <w:tblStylePr w:type="lastCol">
      <w:rPr>
        <w:color w:val="f2f2f2"/>
        <w:sz w:val="22"/>
      </w:rPr>
      <w:tcPr>
        <w:shd w:val="clear" w:color="70ad47" w:fill="70ad47" w:themeFill="accent6"/>
      </w:tcPr>
    </w:tblStylePr>
    <w:tblStylePr w:type="lastRow">
      <w:rPr>
        <w:color w:val="f2f2f2"/>
        <w:sz w:val="22"/>
      </w:rPr>
      <w:tcPr>
        <w:shd w:val="clear" w:color="70ad47" w:fill="70ad47" w:themeFill="accent6"/>
      </w:tcPr>
    </w:tblStylePr>
  </w:style>
  <w:style w:type="table" w:styleId="995" w:customStyle="1">
    <w:name w:val="Bordered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7F7F7F" w:themeColor="text1" w:sz="12" w:space="0"/>
        </w:tcBorders>
      </w:tcPr>
    </w:tblStylePr>
  </w:style>
  <w:style w:type="table" w:styleId="996" w:customStyle="1">
    <w:name w:val="Bordered - Accent 1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CD6EE" w:themeColor="accent1" w:sz="4" w:space="0"/>
          <w:left w:val="single" w:color="BCD6EE" w:themeColor="accent1" w:sz="4" w:space="0"/>
          <w:bottom w:val="single" w:color="BCD6EE" w:themeColor="accent1" w:sz="4" w:space="0"/>
          <w:right w:val="single" w:color="BCD6EE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97" w:customStyle="1">
    <w:name w:val="Bordered - Accent 2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CAAB" w:themeColor="accent2" w:sz="4" w:space="0"/>
          <w:left w:val="single" w:color="F7CAAB" w:themeColor="accent2" w:sz="4" w:space="0"/>
          <w:bottom w:val="single" w:color="F7CAAB" w:themeColor="accent2" w:sz="4" w:space="0"/>
          <w:right w:val="single" w:color="F7CAAB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4B184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4B184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4B184" w:themeColor="accent2" w:sz="12" w:space="0"/>
        </w:tcBorders>
      </w:tcPr>
    </w:tblStylePr>
  </w:style>
  <w:style w:type="table" w:styleId="998" w:customStyle="1">
    <w:name w:val="Bordered - Accent 3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DADADA" w:themeColor="accent3" w:sz="4" w:space="0"/>
          <w:left w:val="single" w:color="DADADA" w:themeColor="accent3" w:sz="4" w:space="0"/>
          <w:bottom w:val="single" w:color="DADADA" w:themeColor="accent3" w:sz="4" w:space="0"/>
          <w:right w:val="single" w:color="DADADA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9C9C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9C9C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9C9C9" w:themeColor="accent3" w:sz="12" w:space="0"/>
        </w:tcBorders>
      </w:tcPr>
    </w:tblStylePr>
  </w:style>
  <w:style w:type="table" w:styleId="999" w:customStyle="1">
    <w:name w:val="Bordered - Accent 4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FE598" w:themeColor="accent4" w:sz="4" w:space="0"/>
          <w:left w:val="single" w:color="FFE598" w:themeColor="accent4" w:sz="4" w:space="0"/>
          <w:bottom w:val="single" w:color="FFE598" w:themeColor="accent4" w:sz="4" w:space="0"/>
          <w:right w:val="single" w:color="FFE598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FD865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FD865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FD865" w:themeColor="accent4" w:sz="12" w:space="0"/>
        </w:tcBorders>
      </w:tcPr>
    </w:tblStylePr>
  </w:style>
  <w:style w:type="table" w:styleId="1000" w:customStyle="1">
    <w:name w:val="Bordered - Accent 5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B3C5E7" w:themeColor="accent5" w:sz="4" w:space="0"/>
          <w:left w:val="single" w:color="B3C5E7" w:themeColor="accent5" w:sz="4" w:space="0"/>
          <w:bottom w:val="single" w:color="B3C5E7" w:themeColor="accent5" w:sz="4" w:space="0"/>
          <w:right w:val="single" w:color="B3C5E7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DA9DB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DA9DB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DA9DB" w:themeColor="accent5" w:sz="12" w:space="0"/>
        </w:tcBorders>
      </w:tcPr>
    </w:tblStylePr>
  </w:style>
  <w:style w:type="table" w:styleId="1001" w:customStyle="1">
    <w:name w:val="Bordered - Accent 6"/>
    <w:basedOn w:val="87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4DFB2" w:themeColor="accent6" w:sz="4" w:space="0"/>
          <w:left w:val="single" w:color="C4DFB2" w:themeColor="accent6" w:sz="4" w:space="0"/>
          <w:bottom w:val="single" w:color="C4DFB2" w:themeColor="accent6" w:sz="4" w:space="0"/>
          <w:right w:val="single" w:color="C4DFB2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A9D08E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A9D08E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A9D08E" w:themeColor="accent6" w:sz="12" w:space="0"/>
        </w:tcBorders>
      </w:tcPr>
    </w:tblStylePr>
  </w:style>
  <w:style w:type="table" w:styleId="1002">
    <w:name w:val="Table Grid"/>
    <w:basedOn w:val="876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header" Target="header7.xml" /><Relationship Id="rId16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E43CC-C4AA-4C7F-BA63-115E750C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Чистяков Сергей Владимирович</dc:creator>
  <dc:description/>
  <dc:language>ru-RU</dc:language>
  <cp:lastModifiedBy>nikitina_nv</cp:lastModifiedBy>
  <cp:revision>43</cp:revision>
  <dcterms:created xsi:type="dcterms:W3CDTF">2024-07-29T02:39:00Z</dcterms:created>
  <dcterms:modified xsi:type="dcterms:W3CDTF">2026-07-15T01:39:50Z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